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83" w:rsidRPr="00877810" w:rsidRDefault="00291FC1" w:rsidP="00B17F6B">
      <w:pPr>
        <w:shd w:val="clear" w:color="auto" w:fill="FFFFFF"/>
        <w:tabs>
          <w:tab w:val="left" w:pos="7655"/>
        </w:tabs>
        <w:spacing w:after="0" w:line="240" w:lineRule="auto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877810">
        <w:rPr>
          <w:rFonts w:ascii="Times New Roman" w:hAnsi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469900" cy="6286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683" w:rsidRPr="00877810">
        <w:rPr>
          <w:rFonts w:ascii="Times New Roman" w:hAnsi="Times New Roman"/>
          <w:sz w:val="24"/>
          <w:szCs w:val="20"/>
          <w:lang w:eastAsia="ru-RU"/>
        </w:rPr>
        <w:t xml:space="preserve">    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877810">
        <w:rPr>
          <w:rFonts w:ascii="Times New Roman" w:hAnsi="Times New Roman"/>
          <w:b/>
          <w:sz w:val="28"/>
          <w:szCs w:val="20"/>
          <w:lang w:eastAsia="ru-RU"/>
        </w:rPr>
        <w:t>У К  Р  А  Ї  Н  А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0"/>
          <w:lang w:eastAsia="ru-RU"/>
        </w:rPr>
      </w:pPr>
      <w:r w:rsidRPr="00877810">
        <w:rPr>
          <w:rFonts w:ascii="Times New Roman" w:hAnsi="Times New Roman"/>
          <w:b/>
          <w:sz w:val="32"/>
          <w:szCs w:val="20"/>
          <w:lang w:eastAsia="ru-RU"/>
        </w:rPr>
        <w:t>Б а х м у т с ь к а  м і с ь к а  р а д а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877810">
        <w:rPr>
          <w:rFonts w:ascii="Times New Roman" w:hAnsi="Times New Roman"/>
          <w:b/>
          <w:sz w:val="40"/>
          <w:szCs w:val="20"/>
          <w:lang w:eastAsia="ru-RU"/>
        </w:rPr>
        <w:t xml:space="preserve"> 141 СЕСІЯ 6 СКЛИКАННЯ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877810">
        <w:rPr>
          <w:rFonts w:ascii="Times New Roman" w:hAnsi="Times New Roman"/>
          <w:b/>
          <w:sz w:val="44"/>
          <w:szCs w:val="20"/>
          <w:lang w:eastAsia="ru-RU"/>
        </w:rPr>
        <w:t xml:space="preserve">Р І Ш Е Н </w:t>
      </w:r>
      <w:proofErr w:type="spellStart"/>
      <w:r w:rsidRPr="00877810">
        <w:rPr>
          <w:rFonts w:ascii="Times New Roman" w:hAnsi="Times New Roman"/>
          <w:b/>
          <w:sz w:val="44"/>
          <w:szCs w:val="20"/>
          <w:lang w:eastAsia="ru-RU"/>
        </w:rPr>
        <w:t>Н</w:t>
      </w:r>
      <w:proofErr w:type="spellEnd"/>
      <w:r w:rsidRPr="00877810">
        <w:rPr>
          <w:rFonts w:ascii="Times New Roman" w:hAnsi="Times New Roman"/>
          <w:b/>
          <w:sz w:val="44"/>
          <w:szCs w:val="20"/>
          <w:lang w:eastAsia="ru-RU"/>
        </w:rPr>
        <w:t xml:space="preserve"> Я</w:t>
      </w: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0683" w:rsidRPr="001A2DB2" w:rsidRDefault="001A2DB2" w:rsidP="00B17F6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DB2">
        <w:rPr>
          <w:rFonts w:ascii="Times New Roman" w:hAnsi="Times New Roman"/>
          <w:sz w:val="28"/>
          <w:szCs w:val="28"/>
        </w:rPr>
        <w:t xml:space="preserve">21.04.2020 </w:t>
      </w:r>
      <w:r>
        <w:rPr>
          <w:rFonts w:ascii="Times New Roman" w:hAnsi="Times New Roman"/>
          <w:sz w:val="28"/>
          <w:szCs w:val="28"/>
        </w:rPr>
        <w:t>№ 6/141-2965</w:t>
      </w: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77810">
        <w:rPr>
          <w:rFonts w:ascii="Times New Roman" w:hAnsi="Times New Roman"/>
          <w:b/>
          <w:i/>
          <w:sz w:val="28"/>
          <w:szCs w:val="28"/>
          <w:lang w:eastAsia="ru-RU"/>
        </w:rPr>
        <w:t xml:space="preserve">Про внесення змін до Комплексної програми «Охорона здоров`я населення на 2018-2020 роки» </w:t>
      </w: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B0683" w:rsidRPr="00877810" w:rsidRDefault="00CD1627" w:rsidP="00AB47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Розглянувши доповідну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начальника Управління охорони здоров’я </w:t>
      </w:r>
      <w:proofErr w:type="spellStart"/>
      <w:r w:rsidR="00BB0683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Миронової О. О. від 20.02.2020 № 01-35/256 (вх. 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 xml:space="preserve">№ 01-1157-06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від 24.02.2020)</w:t>
      </w:r>
      <w:r w:rsidR="00B85092" w:rsidRPr="00877810">
        <w:rPr>
          <w:rFonts w:ascii="Times New Roman" w:hAnsi="Times New Roman"/>
          <w:sz w:val="28"/>
          <w:szCs w:val="28"/>
          <w:lang w:eastAsia="ru-RU"/>
        </w:rPr>
        <w:t>,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«Про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внесення змін до Комплексної програми «Охорона здоров’я населення на 2018-2020 роки», затвердженої рішенням </w:t>
      </w:r>
      <w:proofErr w:type="spellStart"/>
      <w:r w:rsidR="00BB0683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ди від 31.01.2018 № 6/109-2075 (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із змінами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)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, враховуючи висновки: Управління економічного ро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звитку </w:t>
      </w:r>
      <w:proofErr w:type="spellStart"/>
      <w:r w:rsidR="00815681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26.02.2020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192/02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, Фінансового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управління </w:t>
      </w:r>
      <w:proofErr w:type="spellStart"/>
      <w:r w:rsidR="00815681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ради від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02.03.2020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02-20/124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, з метою підвищення рівня медичного обслуг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овування населення </w:t>
      </w:r>
      <w:proofErr w:type="spellStart"/>
      <w:r w:rsidR="00BB0683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об’єднаної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територіальної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громади,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відповідно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до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Закону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України 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«Основи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>законодавства України про охорону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здоров’я»,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 w:rsidR="00BB0683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</w:t>
      </w:r>
      <w:r w:rsidR="00815681" w:rsidRPr="00877810">
        <w:rPr>
          <w:rFonts w:ascii="Times New Roman" w:hAnsi="Times New Roman"/>
          <w:sz w:val="28"/>
          <w:szCs w:val="28"/>
          <w:lang w:eastAsia="ru-RU"/>
        </w:rPr>
        <w:t>ди від 22.02.2017 № 6/98 – 1780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(із змінами)</w:t>
      </w:r>
      <w:r w:rsidR="00AB4789" w:rsidRPr="00877810">
        <w:rPr>
          <w:rFonts w:ascii="Times New Roman" w:hAnsi="Times New Roman"/>
          <w:sz w:val="28"/>
          <w:szCs w:val="28"/>
          <w:lang w:eastAsia="ru-RU"/>
        </w:rPr>
        <w:t xml:space="preserve">, керуючись ст. 26 </w:t>
      </w:r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Закону України  «Про місцеве самоврядування в Україні», </w:t>
      </w:r>
      <w:proofErr w:type="spellStart"/>
      <w:r w:rsidR="00BB0683" w:rsidRPr="00877810">
        <w:rPr>
          <w:rFonts w:ascii="Times New Roman" w:hAnsi="Times New Roman"/>
          <w:sz w:val="28"/>
          <w:szCs w:val="28"/>
          <w:lang w:eastAsia="ru-RU"/>
        </w:rPr>
        <w:t>Бахмутська</w:t>
      </w:r>
      <w:proofErr w:type="spellEnd"/>
      <w:r w:rsidR="00BB0683" w:rsidRPr="00877810">
        <w:rPr>
          <w:rFonts w:ascii="Times New Roman" w:hAnsi="Times New Roman"/>
          <w:sz w:val="28"/>
          <w:szCs w:val="28"/>
          <w:lang w:eastAsia="ru-RU"/>
        </w:rPr>
        <w:t xml:space="preserve"> міська рада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ind w:right="-185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7810">
        <w:rPr>
          <w:rFonts w:ascii="Times New Roman" w:hAnsi="Times New Roman"/>
          <w:b/>
          <w:sz w:val="28"/>
          <w:szCs w:val="28"/>
          <w:lang w:eastAsia="ru-RU"/>
        </w:rPr>
        <w:t>ВИРІШИЛА :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right="-185" w:firstLine="38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1. Внести та затвердити наступні зміни до Комплексної програми «Охорона здоров`я населення на 2018-2020 роки», затвердженої рішенням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від 31.01.2018 </w:t>
      </w:r>
      <w:hyperlink r:id="rId9" w:history="1">
        <w:r w:rsidRPr="00877810">
          <w:rPr>
            <w:rFonts w:ascii="Times New Roman" w:hAnsi="Times New Roman"/>
            <w:sz w:val="28"/>
            <w:szCs w:val="28"/>
            <w:lang w:eastAsia="ru-RU"/>
          </w:rPr>
          <w:t>№ 6/109-2075</w:t>
        </w:r>
      </w:hyperlink>
      <w:r w:rsidRPr="00877810">
        <w:rPr>
          <w:rFonts w:ascii="Times New Roman" w:hAnsi="Times New Roman"/>
          <w:sz w:val="28"/>
          <w:szCs w:val="28"/>
          <w:lang w:eastAsia="ru-RU"/>
        </w:rPr>
        <w:t xml:space="preserve">, із змінами внесеними до неї рішеннями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ради:</w:t>
      </w:r>
      <w:r w:rsidRPr="00877810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877810">
        <w:rPr>
          <w:rFonts w:ascii="Times New Roman" w:hAnsi="Times New Roman"/>
          <w:sz w:val="28"/>
          <w:szCs w:val="28"/>
          <w:lang w:eastAsia="ru-RU"/>
        </w:rPr>
        <w:t>від 27.03.2019 №6/127-2508, від 23.10.2019 № 6/134-2694, від 20.12.2019 № 6/137-2789, від 29.01.2020 №6/139-2880 (далі - Програма):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pStyle w:val="a5"/>
        <w:numPr>
          <w:ilvl w:val="1"/>
          <w:numId w:val="12"/>
        </w:numPr>
        <w:shd w:val="clear" w:color="auto" w:fill="FFFFFF"/>
        <w:spacing w:line="298" w:lineRule="exact"/>
        <w:jc w:val="both"/>
        <w:rPr>
          <w:sz w:val="28"/>
          <w:szCs w:val="28"/>
          <w:lang w:val="uk-UA"/>
        </w:rPr>
      </w:pPr>
      <w:r w:rsidRPr="00877810">
        <w:rPr>
          <w:sz w:val="28"/>
          <w:szCs w:val="28"/>
          <w:lang w:val="uk-UA"/>
        </w:rPr>
        <w:t xml:space="preserve">Пункт 9 та </w:t>
      </w:r>
      <w:proofErr w:type="spellStart"/>
      <w:r w:rsidRPr="00877810">
        <w:rPr>
          <w:sz w:val="28"/>
          <w:szCs w:val="28"/>
          <w:lang w:val="uk-UA"/>
        </w:rPr>
        <w:t>п.п</w:t>
      </w:r>
      <w:proofErr w:type="spellEnd"/>
      <w:r w:rsidRPr="00877810">
        <w:rPr>
          <w:sz w:val="28"/>
          <w:szCs w:val="28"/>
          <w:lang w:val="uk-UA"/>
        </w:rPr>
        <w:t>. 9.1. паспорту Програми викласти у новій редакції:</w:t>
      </w:r>
    </w:p>
    <w:p w:rsidR="00BB0683" w:rsidRPr="00877810" w:rsidRDefault="00BB0683" w:rsidP="00B17F6B">
      <w:pPr>
        <w:pStyle w:val="a5"/>
        <w:shd w:val="clear" w:color="auto" w:fill="FFFFFF"/>
        <w:spacing w:line="298" w:lineRule="exact"/>
        <w:ind w:left="1429"/>
        <w:jc w:val="both"/>
        <w:rPr>
          <w:sz w:val="28"/>
          <w:szCs w:val="28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954"/>
        <w:gridCol w:w="2696"/>
      </w:tblGrid>
      <w:tr w:rsidR="00F91D12" w:rsidRPr="00F91D12" w:rsidTr="0042057E">
        <w:trPr>
          <w:trHeight w:val="705"/>
        </w:trPr>
        <w:tc>
          <w:tcPr>
            <w:tcW w:w="710" w:type="dxa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5954" w:type="dxa"/>
          </w:tcPr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2696" w:type="dxa"/>
            <w:vAlign w:val="center"/>
          </w:tcPr>
          <w:p w:rsidR="00BB0683" w:rsidRPr="00F91D12" w:rsidRDefault="00352344" w:rsidP="00966ED8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  <w:r w:rsidR="00966ED8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D45900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20,2</w:t>
            </w:r>
            <w:r w:rsidR="00BB0683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тис. грн. </w:t>
            </w:r>
          </w:p>
        </w:tc>
      </w:tr>
      <w:tr w:rsidR="00F91D12" w:rsidRPr="00F91D12" w:rsidTr="0042057E">
        <w:trPr>
          <w:trHeight w:val="1685"/>
        </w:trPr>
        <w:tc>
          <w:tcPr>
            <w:tcW w:w="710" w:type="dxa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9.1.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В тому числі: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 кошти міського бюджету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кошти бюджету </w:t>
            </w:r>
            <w:proofErr w:type="spellStart"/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 ОТГ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 кошти обласного бюджету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 кошти державного бюджету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 кошти державного бюджету (НСЗУ)</w:t>
            </w:r>
          </w:p>
          <w:p w:rsidR="00BB0683" w:rsidRPr="00F91D12" w:rsidRDefault="00BB0683" w:rsidP="00B17F6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 кошти з інших джерел</w:t>
            </w:r>
          </w:p>
        </w:tc>
        <w:tc>
          <w:tcPr>
            <w:tcW w:w="2696" w:type="dxa"/>
          </w:tcPr>
          <w:p w:rsidR="00BB0683" w:rsidRPr="00F91D12" w:rsidRDefault="00BB0683" w:rsidP="00B17F6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B0683" w:rsidRPr="00F91D12" w:rsidRDefault="00BB0683" w:rsidP="00B17F6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36 847,9 тис. грн.</w:t>
            </w:r>
          </w:p>
          <w:p w:rsidR="00BB0683" w:rsidRPr="00F91D12" w:rsidRDefault="003A6176" w:rsidP="00B17F6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25 </w:t>
            </w:r>
            <w:r w:rsidR="00D45900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34,4</w:t>
            </w:r>
            <w:r w:rsidR="00BB0683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тис. грн.</w:t>
            </w:r>
          </w:p>
          <w:p w:rsidR="00BB0683" w:rsidRPr="00F91D12" w:rsidRDefault="006507A0" w:rsidP="00B17F6B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66ED8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660,6</w:t>
            </w:r>
            <w:r w:rsidR="00BB0683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тис. грн.</w:t>
            </w:r>
          </w:p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131 512,7 тис. грн.</w:t>
            </w:r>
          </w:p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474,2 тис. грн.</w:t>
            </w:r>
          </w:p>
          <w:p w:rsidR="00BB0683" w:rsidRPr="00F91D12" w:rsidRDefault="003A6176" w:rsidP="00B17F6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67 490,4</w:t>
            </w:r>
            <w:r w:rsidR="00BB0683" w:rsidRPr="00F91D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тис. грн.</w:t>
            </w:r>
          </w:p>
        </w:tc>
      </w:tr>
    </w:tbl>
    <w:p w:rsidR="00BB0683" w:rsidRPr="00877810" w:rsidRDefault="00BB0683" w:rsidP="00B17F6B">
      <w:pPr>
        <w:shd w:val="clear" w:color="auto" w:fill="FFFFFF"/>
        <w:spacing w:before="120" w:after="120" w:line="240" w:lineRule="auto"/>
        <w:ind w:right="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1.2. Розділ 6 «Обсяги та джерела фінансування Програми» викласти у новій редакції: </w:t>
      </w:r>
    </w:p>
    <w:p w:rsidR="00BB0683" w:rsidRPr="00877810" w:rsidRDefault="00BB0683" w:rsidP="00B17F6B">
      <w:pPr>
        <w:shd w:val="clear" w:color="auto" w:fill="FFFFFF"/>
        <w:spacing w:before="120" w:after="120" w:line="240" w:lineRule="auto"/>
        <w:ind w:right="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«Головний розпорядник коштів і виконавець Програми – Управління охорони здоров’я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985"/>
        <w:gridCol w:w="1559"/>
        <w:gridCol w:w="1417"/>
        <w:gridCol w:w="1560"/>
      </w:tblGrid>
      <w:tr w:rsidR="00F91D12" w:rsidRPr="00F91D12" w:rsidTr="00E76A16">
        <w:trPr>
          <w:trHeight w:val="450"/>
        </w:trPr>
        <w:tc>
          <w:tcPr>
            <w:tcW w:w="2977" w:type="dxa"/>
            <w:vMerge w:val="restart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Джерела </w:t>
            </w:r>
          </w:p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фінансування</w:t>
            </w:r>
          </w:p>
        </w:tc>
        <w:tc>
          <w:tcPr>
            <w:tcW w:w="1985" w:type="dxa"/>
            <w:vMerge w:val="restart"/>
            <w:noWrap/>
          </w:tcPr>
          <w:p w:rsidR="00BB0683" w:rsidRPr="00F91D12" w:rsidRDefault="00BB0683" w:rsidP="00B17F6B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12">
              <w:rPr>
                <w:rFonts w:ascii="Times New Roman" w:hAnsi="Times New Roman"/>
                <w:sz w:val="28"/>
                <w:szCs w:val="28"/>
              </w:rPr>
              <w:t>Обсяг фінансування</w:t>
            </w:r>
          </w:p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(тис. грн.)</w:t>
            </w:r>
          </w:p>
        </w:tc>
        <w:tc>
          <w:tcPr>
            <w:tcW w:w="4536" w:type="dxa"/>
            <w:gridSpan w:val="3"/>
            <w:noWrap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 за роками: (тис. грн.)</w:t>
            </w:r>
          </w:p>
        </w:tc>
      </w:tr>
      <w:tr w:rsidR="00F91D12" w:rsidRPr="00F91D12" w:rsidTr="00E76A16">
        <w:trPr>
          <w:trHeight w:val="485"/>
        </w:trPr>
        <w:tc>
          <w:tcPr>
            <w:tcW w:w="2977" w:type="dxa"/>
            <w:vMerge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noWrap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</w:tcPr>
          <w:p w:rsidR="00BB0683" w:rsidRPr="00F91D12" w:rsidRDefault="00BB0683" w:rsidP="00B17F6B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1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noWrap/>
          </w:tcPr>
          <w:p w:rsidR="00BB0683" w:rsidRPr="00F91D12" w:rsidRDefault="00BB0683" w:rsidP="00B17F6B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1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560" w:type="dxa"/>
            <w:noWrap/>
          </w:tcPr>
          <w:p w:rsidR="00BB0683" w:rsidRPr="00F91D12" w:rsidRDefault="00BB0683" w:rsidP="00B17F6B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12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BB0683" w:rsidRPr="00F91D12" w:rsidRDefault="00BB0683" w:rsidP="00B17F6B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1D12" w:rsidRPr="00F91D12" w:rsidTr="00E76A16">
        <w:trPr>
          <w:trHeight w:val="497"/>
        </w:trPr>
        <w:tc>
          <w:tcPr>
            <w:tcW w:w="2977" w:type="dxa"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Міський бюджет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36 847,9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13 400,8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23 447,1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F91D12" w:rsidRPr="00F91D12" w:rsidTr="00E76A16">
        <w:trPr>
          <w:trHeight w:hRule="exact" w:val="1150"/>
        </w:trPr>
        <w:tc>
          <w:tcPr>
            <w:tcW w:w="2977" w:type="dxa"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spellStart"/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ОТГ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3A6176" w:rsidP="00D459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25 </w:t>
            </w:r>
            <w:r w:rsidR="00D45900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3A6176" w:rsidP="00D459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25 </w:t>
            </w:r>
            <w:r w:rsidR="00D45900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34,4</w:t>
            </w:r>
          </w:p>
        </w:tc>
      </w:tr>
      <w:tr w:rsidR="00F91D12" w:rsidRPr="00F91D12" w:rsidTr="00E76A16">
        <w:trPr>
          <w:trHeight w:hRule="exact" w:val="556"/>
        </w:trPr>
        <w:tc>
          <w:tcPr>
            <w:tcW w:w="2977" w:type="dxa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F32AB6" w:rsidP="00966ED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66ED8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BB0683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 660,6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660,6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966ED8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 w:rsidR="006507A0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F91D12" w:rsidRPr="00F91D12" w:rsidTr="00E76A16">
        <w:trPr>
          <w:trHeight w:hRule="exact" w:val="836"/>
        </w:trPr>
        <w:tc>
          <w:tcPr>
            <w:tcW w:w="2977" w:type="dxa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Державний бюджет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131 512,7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12 745,4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65 199,0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53 568,3</w:t>
            </w:r>
          </w:p>
        </w:tc>
      </w:tr>
      <w:tr w:rsidR="00F91D12" w:rsidRPr="00F91D12" w:rsidTr="00E76A16">
        <w:trPr>
          <w:trHeight w:hRule="exact" w:val="849"/>
        </w:trPr>
        <w:tc>
          <w:tcPr>
            <w:tcW w:w="2977" w:type="dxa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Державний бюджет (НСЗУ)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474,2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333,6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140,6</w:t>
            </w:r>
          </w:p>
        </w:tc>
      </w:tr>
      <w:tr w:rsidR="00F91D12" w:rsidRPr="00F91D12" w:rsidTr="00E76A16">
        <w:trPr>
          <w:trHeight w:val="402"/>
        </w:trPr>
        <w:tc>
          <w:tcPr>
            <w:tcW w:w="2977" w:type="dxa"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Інші джерела</w:t>
            </w:r>
          </w:p>
        </w:tc>
        <w:tc>
          <w:tcPr>
            <w:tcW w:w="1985" w:type="dxa"/>
            <w:noWrap/>
            <w:vAlign w:val="center"/>
          </w:tcPr>
          <w:p w:rsidR="00BB0683" w:rsidRPr="00F91D12" w:rsidRDefault="003A6176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67 490,4</w:t>
            </w:r>
          </w:p>
        </w:tc>
        <w:tc>
          <w:tcPr>
            <w:tcW w:w="1559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12 106,1</w:t>
            </w:r>
          </w:p>
        </w:tc>
        <w:tc>
          <w:tcPr>
            <w:tcW w:w="1417" w:type="dxa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3 908,7</w:t>
            </w:r>
          </w:p>
        </w:tc>
        <w:tc>
          <w:tcPr>
            <w:tcW w:w="1560" w:type="dxa"/>
            <w:noWrap/>
            <w:vAlign w:val="center"/>
          </w:tcPr>
          <w:p w:rsidR="00BB0683" w:rsidRPr="00F91D12" w:rsidRDefault="003A6176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51 475,6</w:t>
            </w:r>
          </w:p>
        </w:tc>
      </w:tr>
      <w:tr w:rsidR="00F91D12" w:rsidRPr="00F91D12" w:rsidTr="00E76A16">
        <w:trPr>
          <w:trHeight w:val="423"/>
        </w:trPr>
        <w:tc>
          <w:tcPr>
            <w:tcW w:w="2977" w:type="dxa"/>
            <w:shd w:val="clear" w:color="auto" w:fill="FFFFFF"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BB0683" w:rsidRPr="00F91D12" w:rsidRDefault="003A6176" w:rsidP="00966ED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="00966ED8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D45900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38 912,9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BB0683" w:rsidRPr="00F91D12" w:rsidRDefault="00BB0683" w:rsidP="00B17F6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108 888,4</w:t>
            </w:r>
          </w:p>
        </w:tc>
        <w:tc>
          <w:tcPr>
            <w:tcW w:w="1560" w:type="dxa"/>
            <w:shd w:val="clear" w:color="auto" w:fill="FFFFFF"/>
            <w:noWrap/>
            <w:vAlign w:val="center"/>
          </w:tcPr>
          <w:p w:rsidR="00BB0683" w:rsidRPr="00F91D12" w:rsidRDefault="00966ED8" w:rsidP="00D45900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141</w:t>
            </w:r>
            <w:r w:rsidR="003A6176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D45900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3A6176" w:rsidRPr="00F91D12">
              <w:rPr>
                <w:rFonts w:ascii="Times New Roman" w:hAnsi="Times New Roman"/>
                <w:sz w:val="28"/>
                <w:szCs w:val="28"/>
                <w:lang w:eastAsia="ru-RU"/>
              </w:rPr>
              <w:t>18,9</w:t>
            </w:r>
          </w:p>
        </w:tc>
      </w:tr>
    </w:tbl>
    <w:p w:rsidR="00BB0683" w:rsidRPr="00877810" w:rsidRDefault="00BB0683" w:rsidP="00B17F6B">
      <w:pPr>
        <w:shd w:val="clear" w:color="auto" w:fill="FFFFFF"/>
        <w:spacing w:after="0"/>
        <w:ind w:right="6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>Комплексна програма «Охорона здоров’я населення на</w:t>
      </w:r>
      <w:r w:rsidRPr="00877810">
        <w:rPr>
          <w:rFonts w:ascii="Times New Roman" w:hAnsi="Times New Roman"/>
          <w:sz w:val="28"/>
          <w:szCs w:val="28"/>
          <w:lang w:eastAsia="ru-RU"/>
        </w:rPr>
        <w:br/>
        <w:t xml:space="preserve"> 2018 - 2020 роки» реалізується за рахунок коштів міського бюджету, бюджету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об’єднаної територіальної громади, обласного бюджету, державного бюджету, Національної служби здоров`я України, а також позабюджетних джерел, включаючи власні ресурси комунальних </w:t>
      </w:r>
      <w:r w:rsidRPr="00877810">
        <w:rPr>
          <w:rFonts w:ascii="Times New Roman" w:hAnsi="Times New Roman"/>
          <w:sz w:val="28"/>
          <w:szCs w:val="28"/>
          <w:lang w:eastAsia="ru-RU"/>
        </w:rPr>
        <w:lastRenderedPageBreak/>
        <w:t>некомерційних підприємств. Ресурсне забезпечення Комплексної програми викладено у додатку 3.»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1.3. Додаток 1 «Заходи з реалізації </w:t>
      </w:r>
      <w:r w:rsidRPr="00877810">
        <w:rPr>
          <w:rFonts w:ascii="Times New Roman" w:hAnsi="Times New Roman"/>
          <w:spacing w:val="-1"/>
          <w:sz w:val="28"/>
          <w:szCs w:val="28"/>
          <w:lang w:eastAsia="ru-RU"/>
        </w:rPr>
        <w:t>Комплексної програми</w:t>
      </w:r>
      <w:r w:rsidRPr="00877810">
        <w:rPr>
          <w:rFonts w:ascii="Times New Roman" w:hAnsi="Times New Roman"/>
          <w:sz w:val="28"/>
          <w:szCs w:val="28"/>
          <w:lang w:eastAsia="ru-RU"/>
        </w:rPr>
        <w:t>» до Програми викласти у новій редакції, згідно Додатку 1.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>1.4. Додаток 2 «Показники результативності Комплексної програми» до Програми викласти у новій редакції, згідно Додатку 2.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1.5. Додаток 3 «Ресурсне забезпечення Комплексної програми» до Програми викласти у новій редакції, згідно Додатку 3. 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2. Фінансовому управлінню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(Ткаченко) здійснити фінансування заходів Програми у межах бюджетних коштів, передбачених у кошторисах доходів та видатків Управління охорони здоров’я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на 2020 рік. 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>3. Вважати такими, що втратили чинність: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ab/>
      </w:r>
      <w:r w:rsidR="00A918E7" w:rsidRPr="00877810">
        <w:rPr>
          <w:rFonts w:ascii="Times New Roman" w:hAnsi="Times New Roman"/>
          <w:bCs/>
          <w:iCs/>
          <w:sz w:val="28"/>
          <w:szCs w:val="28"/>
          <w:lang w:eastAsia="ru-RU"/>
        </w:rPr>
        <w:t>- п.п.1.1.,1.3.</w:t>
      </w:r>
      <w:r w:rsidRPr="0087781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–1.6. п.1. </w:t>
      </w:r>
      <w:r w:rsidRPr="00877810">
        <w:rPr>
          <w:rFonts w:ascii="Times New Roman" w:hAnsi="Times New Roman"/>
          <w:sz w:val="28"/>
          <w:szCs w:val="28"/>
          <w:lang w:eastAsia="ru-RU"/>
        </w:rPr>
        <w:t>рішення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918E7"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="00A918E7"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від 20.</w:t>
      </w:r>
      <w:r w:rsidRPr="00877810">
        <w:rPr>
          <w:rFonts w:ascii="Times New Roman" w:hAnsi="Times New Roman"/>
          <w:sz w:val="28"/>
          <w:szCs w:val="28"/>
          <w:lang w:eastAsia="ru-RU"/>
        </w:rPr>
        <w:t>1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2</w:t>
      </w:r>
      <w:r w:rsidRPr="00877810">
        <w:rPr>
          <w:rFonts w:ascii="Times New Roman" w:hAnsi="Times New Roman"/>
          <w:sz w:val="28"/>
          <w:szCs w:val="28"/>
          <w:lang w:eastAsia="ru-RU"/>
        </w:rPr>
        <w:t>.20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19</w:t>
      </w:r>
      <w:r w:rsidRPr="00877810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6/137</w:t>
      </w:r>
      <w:r w:rsidRPr="00877810">
        <w:rPr>
          <w:rFonts w:ascii="Times New Roman" w:hAnsi="Times New Roman"/>
          <w:sz w:val="28"/>
          <w:szCs w:val="28"/>
          <w:lang w:eastAsia="ru-RU"/>
        </w:rPr>
        <w:t>-2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789</w:t>
      </w:r>
      <w:r w:rsidRPr="00877810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877810">
        <w:rPr>
          <w:rFonts w:ascii="Times New Roman" w:hAnsi="Times New Roman"/>
          <w:bCs/>
          <w:iCs/>
          <w:sz w:val="28"/>
          <w:szCs w:val="28"/>
          <w:lang w:eastAsia="ru-RU"/>
        </w:rPr>
        <w:t>Про внесенн</w:t>
      </w:r>
      <w:r w:rsidR="00A918E7" w:rsidRPr="00877810">
        <w:rPr>
          <w:rFonts w:ascii="Times New Roman" w:hAnsi="Times New Roman"/>
          <w:bCs/>
          <w:iCs/>
          <w:sz w:val="28"/>
          <w:szCs w:val="28"/>
          <w:lang w:eastAsia="ru-RU"/>
        </w:rPr>
        <w:t>я змін до Комплексної програми «</w:t>
      </w:r>
      <w:r w:rsidRPr="00877810">
        <w:rPr>
          <w:rFonts w:ascii="Times New Roman" w:hAnsi="Times New Roman"/>
          <w:bCs/>
          <w:iCs/>
          <w:sz w:val="28"/>
          <w:szCs w:val="28"/>
          <w:lang w:eastAsia="ru-RU"/>
        </w:rPr>
        <w:t>Охорона здоров`я населення на 2018-2020 роки</w:t>
      </w:r>
      <w:r w:rsidR="00A918E7" w:rsidRPr="00877810">
        <w:rPr>
          <w:rFonts w:ascii="Times New Roman" w:hAnsi="Times New Roman"/>
          <w:sz w:val="28"/>
          <w:szCs w:val="28"/>
          <w:lang w:eastAsia="ru-RU"/>
        </w:rPr>
        <w:t>»;</w:t>
      </w:r>
    </w:p>
    <w:p w:rsidR="00A918E7" w:rsidRPr="00877810" w:rsidRDefault="00A918E7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Pr="00877810">
        <w:rPr>
          <w:rFonts w:ascii="Times New Roman" w:eastAsia="Calibri" w:hAnsi="Times New Roman"/>
          <w:sz w:val="28"/>
          <w:szCs w:val="28"/>
          <w:lang w:eastAsia="ru-RU"/>
        </w:rPr>
        <w:t xml:space="preserve">рішення </w:t>
      </w:r>
      <w:proofErr w:type="spellStart"/>
      <w:r w:rsidRPr="00877810">
        <w:rPr>
          <w:rFonts w:ascii="Times New Roman" w:eastAsia="Calibri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eastAsia="Calibri" w:hAnsi="Times New Roman"/>
          <w:sz w:val="28"/>
          <w:szCs w:val="28"/>
          <w:lang w:eastAsia="ru-RU"/>
        </w:rPr>
        <w:t xml:space="preserve"> міської ради від 29.01.2020 6/139-288</w:t>
      </w:r>
      <w:r w:rsidR="00003474">
        <w:rPr>
          <w:rFonts w:ascii="Times New Roman" w:eastAsia="Calibri" w:hAnsi="Times New Roman"/>
          <w:sz w:val="28"/>
          <w:szCs w:val="28"/>
          <w:lang w:eastAsia="ru-RU"/>
        </w:rPr>
        <w:t>0</w:t>
      </w:r>
      <w:r w:rsidRPr="008778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7810">
        <w:rPr>
          <w:rFonts w:ascii="Times New Roman" w:eastAsia="Calibri" w:hAnsi="Times New Roman"/>
          <w:sz w:val="28"/>
          <w:szCs w:val="28"/>
          <w:lang w:eastAsia="ru-RU"/>
        </w:rPr>
        <w:t>«</w:t>
      </w:r>
      <w:r w:rsidRPr="00877810">
        <w:rPr>
          <w:rFonts w:ascii="Times New Roman" w:hAnsi="Times New Roman"/>
          <w:bCs/>
          <w:iCs/>
          <w:sz w:val="28"/>
          <w:szCs w:val="28"/>
          <w:lang w:eastAsia="ru-RU"/>
        </w:rPr>
        <w:t>Про внесення змін до Комплексної програми «Охорона здоров`я населення на 2018-2020 роки</w:t>
      </w:r>
      <w:r w:rsidRPr="00877810">
        <w:rPr>
          <w:rFonts w:ascii="Times New Roman" w:eastAsia="Calibri" w:hAnsi="Times New Roman"/>
          <w:sz w:val="28"/>
          <w:szCs w:val="28"/>
          <w:lang w:eastAsia="ru-RU"/>
        </w:rPr>
        <w:t>».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4. Організаційне виконання рішення покласти на Управління охорони здоров’я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(Миронова), Фінансове управління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(Ткаченко), заступника міського голови </w:t>
      </w:r>
      <w:r w:rsidRPr="00877810">
        <w:rPr>
          <w:rFonts w:ascii="Times New Roman" w:hAnsi="Times New Roman"/>
          <w:sz w:val="28"/>
          <w:szCs w:val="28"/>
          <w:lang w:eastAsia="ru-RU"/>
        </w:rPr>
        <w:br/>
        <w:t>Точену В.В., першого заступника міського голови Савченко Т.М.</w:t>
      </w: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810">
        <w:rPr>
          <w:rFonts w:ascii="Times New Roman" w:hAnsi="Times New Roman"/>
          <w:sz w:val="28"/>
          <w:szCs w:val="28"/>
          <w:lang w:eastAsia="ru-RU"/>
        </w:rPr>
        <w:t xml:space="preserve">5. Координаційне забезпечення виконання рішення покласти на постійні комісії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ради: з питань соціального захисту населення і охорони здоров’я (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Красножон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>), з питань економічної і інвестиційної політики, бюджету і фінансів (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Нікітенко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), секретаря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міської ради  </w:t>
      </w:r>
      <w:proofErr w:type="spellStart"/>
      <w:r w:rsidRPr="00877810">
        <w:rPr>
          <w:rFonts w:ascii="Times New Roman" w:hAnsi="Times New Roman"/>
          <w:sz w:val="28"/>
          <w:szCs w:val="28"/>
          <w:lang w:eastAsia="ru-RU"/>
        </w:rPr>
        <w:t>Кіщенко</w:t>
      </w:r>
      <w:proofErr w:type="spellEnd"/>
      <w:r w:rsidRPr="00877810">
        <w:rPr>
          <w:rFonts w:ascii="Times New Roman" w:hAnsi="Times New Roman"/>
          <w:sz w:val="28"/>
          <w:szCs w:val="28"/>
          <w:lang w:eastAsia="ru-RU"/>
        </w:rPr>
        <w:t xml:space="preserve"> С.І.</w:t>
      </w:r>
    </w:p>
    <w:p w:rsidR="00BB0683" w:rsidRPr="00877810" w:rsidRDefault="00BB0683" w:rsidP="00B17F6B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BB0683" w:rsidRPr="00877810" w:rsidRDefault="00BB0683" w:rsidP="00A918E7">
      <w:pPr>
        <w:shd w:val="clear" w:color="auto" w:fill="FFFFFF"/>
        <w:spacing w:before="120" w:after="120" w:line="240" w:lineRule="auto"/>
        <w:ind w:right="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7810"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                </w:t>
      </w:r>
      <w:r w:rsidR="00A918E7" w:rsidRPr="00877810">
        <w:rPr>
          <w:rFonts w:ascii="Times New Roman" w:hAnsi="Times New Roman"/>
          <w:b/>
          <w:sz w:val="28"/>
          <w:szCs w:val="28"/>
          <w:lang w:eastAsia="ru-RU"/>
        </w:rPr>
        <w:tab/>
      </w:r>
      <w:r w:rsidR="00A918E7" w:rsidRPr="0087781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877810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О.О. РЕВА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910"/>
        <w:contextualSpacing/>
        <w:jc w:val="both"/>
        <w:rPr>
          <w:rFonts w:ascii="Times New Roman" w:hAnsi="Times New Roman"/>
          <w:sz w:val="28"/>
          <w:szCs w:val="28"/>
          <w:lang w:eastAsia="ru-RU"/>
        </w:rPr>
        <w:sectPr w:rsidR="00BB0683" w:rsidRPr="00877810" w:rsidSect="00815681">
          <w:headerReference w:type="default" r:id="rId10"/>
          <w:pgSz w:w="11906" w:h="16838"/>
          <w:pgMar w:top="851" w:right="991" w:bottom="568" w:left="1701" w:header="708" w:footer="708" w:gutter="0"/>
          <w:cols w:space="708"/>
          <w:titlePg/>
          <w:docGrid w:linePitch="360"/>
        </w:sectPr>
      </w:pPr>
    </w:p>
    <w:p w:rsidR="00BB0683" w:rsidRPr="00877810" w:rsidRDefault="00BB0683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Додаток 1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0620" w:firstLine="4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до Комплексної програми «Охорона здоров’я населення на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2018-2020 роки», затвердженої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рішенням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31.01.2018 №6/109 – 2075, із змінами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0632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(Додаток 1 у редакції рішення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 </w:t>
      </w:r>
      <w:r w:rsidR="001A2DB2" w:rsidRPr="001A2DB2">
        <w:rPr>
          <w:rFonts w:ascii="Times New Roman" w:hAnsi="Times New Roman"/>
          <w:sz w:val="24"/>
          <w:szCs w:val="24"/>
        </w:rPr>
        <w:t>21.04.2020 № 6/141-2965</w:t>
      </w:r>
      <w:r w:rsidR="001A2DB2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BB0683" w:rsidRPr="00877810" w:rsidRDefault="00BB0683" w:rsidP="00B17F6B">
      <w:pPr>
        <w:shd w:val="clear" w:color="auto" w:fill="FFFFFF"/>
        <w:spacing w:after="0" w:line="240" w:lineRule="auto"/>
        <w:ind w:left="7787" w:firstLine="1"/>
        <w:jc w:val="center"/>
        <w:rPr>
          <w:rFonts w:ascii="Times New Roman" w:hAnsi="Times New Roman"/>
          <w:sz w:val="32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877810">
        <w:rPr>
          <w:rFonts w:ascii="Times New Roman" w:hAnsi="Times New Roman"/>
          <w:b/>
          <w:sz w:val="20"/>
          <w:szCs w:val="20"/>
          <w:lang w:eastAsia="ru-RU"/>
        </w:rPr>
        <w:t>ЗАХОДИ З РЕАЛІЗАЦІЇ КОМПЛЕКСНОЇ ПРОГРАМИ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17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675"/>
        <w:gridCol w:w="2149"/>
        <w:gridCol w:w="1272"/>
        <w:gridCol w:w="1830"/>
        <w:gridCol w:w="6"/>
        <w:gridCol w:w="6"/>
        <w:gridCol w:w="1421"/>
        <w:gridCol w:w="983"/>
        <w:gridCol w:w="6"/>
        <w:gridCol w:w="1134"/>
        <w:gridCol w:w="1129"/>
        <w:gridCol w:w="11"/>
        <w:gridCol w:w="1134"/>
        <w:gridCol w:w="2136"/>
        <w:gridCol w:w="2000"/>
      </w:tblGrid>
      <w:tr w:rsidR="00BB0683" w:rsidRPr="00877810" w:rsidTr="0086612E">
        <w:trPr>
          <w:gridAfter w:val="1"/>
          <w:wAfter w:w="2000" w:type="dxa"/>
          <w:trHeight w:val="345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Завдання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Зміст заходів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Строк виконання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заходу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Виконавці</w:t>
            </w:r>
          </w:p>
        </w:tc>
        <w:tc>
          <w:tcPr>
            <w:tcW w:w="1427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4397" w:type="dxa"/>
            <w:gridSpan w:val="6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Обсяги фінансування по роках, тис. грн.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Очікуваний результат</w:t>
            </w:r>
          </w:p>
        </w:tc>
      </w:tr>
      <w:tr w:rsidR="00BB0683" w:rsidRPr="00877810" w:rsidTr="0086612E">
        <w:trPr>
          <w:gridAfter w:val="1"/>
          <w:wAfter w:w="2000" w:type="dxa"/>
          <w:trHeight w:val="32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 рік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 рік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</w:trPr>
        <w:tc>
          <w:tcPr>
            <w:tcW w:w="560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5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BB0683" w:rsidRPr="00877810" w:rsidTr="0086612E">
        <w:trPr>
          <w:gridAfter w:val="1"/>
          <w:wAfter w:w="2000" w:type="dxa"/>
          <w:trHeight w:val="907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Впровадження електронного документообігу в комунальних некомерційних підприємствах 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 Підтримка мережі «Інтернет» в комунальних некомерційних підприємствах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комунальні некомерційні підприємства (далі – КНП)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оперативного контролю за показниками роботи, експертизи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якості надання медичної допомоги 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</w:t>
            </w:r>
          </w:p>
        </w:tc>
      </w:tr>
      <w:tr w:rsidR="00BB0683" w:rsidRPr="00877810" w:rsidTr="0086612E">
        <w:trPr>
          <w:gridAfter w:val="1"/>
          <w:wAfter w:w="2000" w:type="dxa"/>
          <w:trHeight w:val="103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83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72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85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 Збір, обробка та аналіз статистичних даних діяльності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лікувальних закладів міста  ("Система управління кадрами", "Медок", "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Медстат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5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5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Скорочення термінів надання звітів та реєстрів послуг,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забезпечення оперативного контролю за показниками роботи, експертизи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якості надання медичної допомоги.</w:t>
            </w:r>
          </w:p>
        </w:tc>
      </w:tr>
      <w:tr w:rsidR="00BB0683" w:rsidRPr="00877810" w:rsidTr="0086612E">
        <w:trPr>
          <w:gridAfter w:val="1"/>
          <w:wAfter w:w="2000" w:type="dxa"/>
          <w:trHeight w:val="148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5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10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87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1.3. Супровід та оновлення бази даних інформаційної електронної програми «Медична інформаційна система» та створення єдиного медичного інформаційного простору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868,0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 якості управління медичною, адміністративною та фінансовою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діяльністю  лікувальних закладів.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70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1304,1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1304,1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13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192,0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557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76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1.4. Придбання обладнання та устаткування для електронної програми «Медична інформаційна система» та створення єдиного медичного інформаційного простору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2018 -2020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 рахунок придбання 257 од. комп’ютерної техніки  забезпечити повноцінне функціонування електронної програми «Медична інформаційна система». Придбання 13 комп’ютерів для відділення екстреної невідкладної медичної допомоги </w:t>
            </w:r>
          </w:p>
        </w:tc>
      </w:tr>
      <w:tr w:rsidR="00BB0683" w:rsidRPr="00877810" w:rsidTr="0086612E">
        <w:trPr>
          <w:gridAfter w:val="1"/>
          <w:wAfter w:w="2000" w:type="dxa"/>
          <w:trHeight w:val="1034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15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787,5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787,5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799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1 301,9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1 501,9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36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1.5.Придбання ліцензій  на використання комп’ютерних програм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315,5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Встановлення ліцензійного програмного забезпечення на 111 комп’ютерах,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у тому числі на 13 комп’ютерах у відділенні екстреної невідкладної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145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42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Національна служба здоров`я України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271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 Придбання обладнання та меблів для оснащення кабінету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телемедицини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КНП «Багатопрофільна лікарня інтенсивного лікування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 рік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105" w:firstLine="4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«Багатопрофільна лікарня інтенсивного лікування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 (далі – КНП «БЛІЛ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Покращення якості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274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1.7 Придбання програмного забезпечення "ІС-ПРО», «Фахівець"  та серверу для його впровадження в КНП "БЛІЛ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 рік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105" w:firstLine="47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«Багатопрофільна лікарня інтенсивного лікування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(далі – КНП «БЛІЛ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»)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105" w:firstLine="47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230,8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Скорочення термінів надання звітів та реєстрів послуг, забезпечення оперативного контролю за показниками роботи КНП «БЛІЛ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кадрами комунальних некомерційних підприємств </w:t>
            </w: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2.1.Забезпечення навчання студентів  І-VI курсів та  лікарів - інтернів 1-го та   2-го років навчання в вищих навчальних закладах України ІІІ –IV рівня акредитації з укладенням договору про відпрацювання у КНП «Центр первинної медичної допомоги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 протягом 10 років за фахом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2018-2019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«Центр первинної медичної допомоги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(далі -КНП «ЦПМД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»)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 показника забезпечення лікарями загальної практики – сімейної медицини. Навчання 2 лікарів інтернів та 2  студентів.</w:t>
            </w:r>
          </w:p>
        </w:tc>
      </w:tr>
      <w:tr w:rsidR="00BB0683" w:rsidRPr="00877810" w:rsidTr="0086612E">
        <w:trPr>
          <w:gridAfter w:val="1"/>
          <w:wAfter w:w="2000" w:type="dxa"/>
          <w:trHeight w:val="325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2.2.Надання лікарям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житла, яке є комунальною власністю територіальної громади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та проведення капітального ремонту даних жилих приміщень 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охорони здоров`я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Залучення до роботи в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молодих фахівців  шляхом придбання та надання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житла для 2-х лікарів.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83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2.3.Підвищення кваліфікації лікарів та молодших медичних спеціалістів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267,8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517,8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Підвищення кваліфікації 240 лікарів та 90 молодших медичних спеціалістів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99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67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437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Медико-соціальне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пільгових категорій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населення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 </w:t>
            </w:r>
            <w:r w:rsidRPr="00877810"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  <w:t xml:space="preserve">.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КНП «БЛІЛ 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КНП «ЦПМД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707,0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1 707,0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31" w:hanging="3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 хворих, які мають право на безоплатний та пільговий відпуск лікарських засобів по пільговим рецептам у кількості 6500 од.  </w:t>
            </w:r>
          </w:p>
        </w:tc>
      </w:tr>
      <w:tr w:rsidR="00BB0683" w:rsidRPr="00877810" w:rsidTr="0086612E">
        <w:trPr>
          <w:gridAfter w:val="1"/>
          <w:wAfter w:w="2000" w:type="dxa"/>
          <w:trHeight w:val="155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31" w:hanging="3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175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3.2. Забезпечення   пільгової  категорії населення слуховими апаратами (доросле та дитяче населення)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416,3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1 056,3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Досягнення соціальної адаптації  та зниження загальної захворюваності та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інвалідізації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населення.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 65 од. слухових апаратів для дорослих та 16 од. слухових апаратів для дітей.</w:t>
            </w:r>
          </w:p>
        </w:tc>
        <w:tc>
          <w:tcPr>
            <w:tcW w:w="200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106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170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 Забезпечити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пільгові категорії населення </w:t>
            </w:r>
            <w:r w:rsidRPr="00877810">
              <w:rPr>
                <w:rFonts w:ascii="Times New Roman" w:hAnsi="Times New Roman"/>
                <w:sz w:val="21"/>
                <w:szCs w:val="21"/>
                <w:lang w:eastAsia="ru-RU"/>
              </w:rPr>
              <w:t>зубопротезуванням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2018-2020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стоматологічна поліклініка» (далі – КНП «БСП»)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180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осіб пільгових категорій населення зубним протезуванням, що дає покращення загального стану здоров’я і життя. </w:t>
            </w: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120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hRule="exact" w:val="102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3.4. Забезпечення пільгової  категорії хворих  засобами догляду за стомою (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калоприймачами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та сечоприймачами)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6065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Управління охорони здоров’я</w:t>
            </w:r>
            <w:r w:rsidR="0060656C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0656C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="0060656C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           м. </w:t>
            </w:r>
            <w:proofErr w:type="spellStart"/>
            <w:r w:rsidR="0060656C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="0060656C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Досягнення соціальної адаптації 37 осіб з інвалідністю (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хворих).</w:t>
            </w: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hRule="exact" w:val="84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hRule="exact" w:val="93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3.5. Забезпечення дітей-інвалідів  підгузками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КНП «БЛІЛ 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КНП «ЦПМД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Покращення загального стану здоров’я і життя 23 дітей з інвалідністю</w:t>
            </w: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hRule="exact" w:val="106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78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3.6. Забезпечення  пільгової  категорії населення  протезно-ортопедичними виробами (інвалідів, у т.ч. ендопротези суглобів з видовженням для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онкохворих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Покращення рівня життя  7-х хворих із захворюваннями опорно-рухового апарату та зменшення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інвалідізації</w:t>
            </w:r>
            <w:proofErr w:type="spellEnd"/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trHeight w:val="150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56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ветеранів війни якісною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стаціонарною допомогою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4.1. Збільшення норм грошових витрат на обслуговування ветеранів війни в палатах для ветеранів війни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КНП «БЛІЛ 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КНП «ЦПМД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Покращення ефективності лікування та оздоровлення 1280 ветеранів війни.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09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317,4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317,4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6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дітей, хворих на цукровий діабет, витратними матеріалами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5.1. Придбання тест-смужок та голок для шприц-ручок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КНП «БЛІЛ 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КНП «ЦПМД </w:t>
            </w:r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="00D71F99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Зниження рівня захворюваності населення  за рахунок забезпечення  33 дітей тест-смужками та голками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шприц - ручок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75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17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63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дітей та дорослих, хворих на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орфанні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захворювання лікарськими засобами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6.1.Придбання лікарських засобів 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КНП «ЦПМД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310,5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655,5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Покращення рівня життя хворих із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орфанними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захворюваннями та зменшення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інвалідізації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рахунок придбання лікарських засобів для 6-ти дітей та 2 –х дорослих</w:t>
            </w:r>
          </w:p>
        </w:tc>
      </w:tr>
      <w:tr w:rsidR="00BB0683" w:rsidRPr="00877810" w:rsidTr="0086612E">
        <w:trPr>
          <w:gridAfter w:val="1"/>
          <w:wAfter w:w="2000" w:type="dxa"/>
          <w:trHeight w:val="27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02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354,8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85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623,1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623,1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3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медичного обслуговування внутрішньо переміщених осіб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7.1. Надання якісної стаціонарної та амбулаторно-поліклінічної допомоги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2 262,0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6 243,7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8 505,7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Поліпшення надання кваліфікованої медичної допомоги   внутрішньо переміщеним особам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72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945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раннього виявлення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захворювань шляхом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проведення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96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профілактичного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медичного огляду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жителів міста з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використанням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скринінгових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методів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8.1. Придбання рентгенологічної плівки, проведення технічного обслуговування рентгенологічної апаратури</w:t>
            </w:r>
          </w:p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610,7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633,6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1 244,3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20 333 - кількість  рентгенівських знімків </w:t>
            </w:r>
          </w:p>
        </w:tc>
      </w:tr>
      <w:tr w:rsidR="00BB0683" w:rsidRPr="00877810" w:rsidTr="0086612E">
        <w:trPr>
          <w:gridAfter w:val="1"/>
          <w:wAfter w:w="2000" w:type="dxa"/>
          <w:trHeight w:val="52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84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5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203,4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87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8.2. Придбання контрасту для проведення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досліджень на комп’ютерному томографі пільговій категорії населення (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хворих)</w:t>
            </w:r>
          </w:p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Проведення досліджень на комп’ютерному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томографі для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хворих</w:t>
            </w:r>
          </w:p>
        </w:tc>
      </w:tr>
      <w:tr w:rsidR="00BB0683" w:rsidRPr="00877810" w:rsidTr="0086612E">
        <w:trPr>
          <w:gridAfter w:val="1"/>
          <w:wAfter w:w="2000" w:type="dxa"/>
          <w:trHeight w:val="727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539"/>
              </w:tabs>
              <w:spacing w:after="0" w:line="240" w:lineRule="auto"/>
              <w:ind w:left="-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79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1 050,0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1 075,3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209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8.3. Придбання витратних матеріалів та реактивів для проведення безкоштовних лабораторних досліджень (клінічних, біохімічних, гістологічних, цитологічних, імунологічних, та бактеріологічних) населенню пільгової категорії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2 538,0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Можливість забезпечення кожного пацієнта лабораторним дослідженням з метою своєчасного встановлення діагнозу та проведення якісного лікування .  Кількість лабораторних досліджень – 44 700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1454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77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144,8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2273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Охорона материнства та дитинства  на І та ІІ рівні надання медичної допомоги</w:t>
            </w: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9.1. Забезпечення  виконання клінічних протоколів з питань надання акушерської, гінекологічної,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неонатальної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допомоги відповідно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Фінансування не потребує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Зниження рівня материнської захворюваності та смертності, зниження рівня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малюкової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захворюваності та смертності</w:t>
            </w:r>
          </w:p>
        </w:tc>
      </w:tr>
      <w:tr w:rsidR="00BB0683" w:rsidRPr="00877810" w:rsidTr="0086612E">
        <w:trPr>
          <w:gridAfter w:val="1"/>
          <w:wAfter w:w="2000" w:type="dxa"/>
          <w:trHeight w:val="142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9.2. Взяття участі у щорічних інформаційно-просвітницьких кампаніях для населення з питань здорового способу життя, репродуктивного здоров’я та планування сім’ї за допомогою тематичних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теле-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радіо передач та соціальної реклами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Фінансування не потребує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Зниження рівня материнської захворюваності та смертності, зниження рівня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малюкової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захворюваності та смертності</w:t>
            </w:r>
          </w:p>
        </w:tc>
      </w:tr>
      <w:tr w:rsidR="00BB0683" w:rsidRPr="00877810" w:rsidTr="0086612E">
        <w:trPr>
          <w:gridAfter w:val="1"/>
          <w:wAfter w:w="2000" w:type="dxa"/>
          <w:trHeight w:val="231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9.3. Забезпечення молочними сумішами та продуктами лікувального харчування дітей перших двох років життя із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малозабез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печених сімей, дітей першого року народження, та дітей, народ жених від ВІЛ – інфікованих матерів 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186,5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314,0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Зниження рівня захворюваності дитячого населення. 78 дітей, які мають право на пільгове харчування </w:t>
            </w:r>
          </w:p>
        </w:tc>
      </w:tr>
      <w:tr w:rsidR="00BB0683" w:rsidRPr="00877810" w:rsidTr="0086612E">
        <w:trPr>
          <w:gridAfter w:val="1"/>
          <w:wAfter w:w="2000" w:type="dxa"/>
          <w:trHeight w:val="171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53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9.4. Забезпечення обстеження сучасними методами пренатальної діагностики вродженої та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спадкової патології вагітних групи ризику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196,0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Зниження кількості новонароджених з вродженими вадами. Проведення пренатальної діагностики 5%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кількості вагітних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 до 160 осіб)</w:t>
            </w:r>
          </w:p>
        </w:tc>
      </w:tr>
      <w:tr w:rsidR="00BB0683" w:rsidRPr="00877810" w:rsidTr="0086612E">
        <w:trPr>
          <w:gridAfter w:val="1"/>
          <w:wAfter w:w="2000" w:type="dxa"/>
          <w:trHeight w:val="99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182,4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182,4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03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9.5. Забезпечення пологового відділення  медикаментами для надання невідкладної медичної допомоги у разі кровотечі та інших ускладнень вагітності та пологів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119,9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Лікування вагітних з анеміями та акушерськими кровотечами ( до 340 осіб)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158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87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172,7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423,1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1 045,8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24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9.6. Забезпечення медичними препаратами пологового відділення для надання невідкладної медичної допомоги новонародженим дітям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770,4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173,7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944,1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Покращення надання медичної допомоги новонародженим дітям  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91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314,5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314,5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29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244,8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447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9.7. Придбання сучасного обладнання для пологового відділення (апарати для штучної вентиляції легень для дорослих,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УЗД,КТГ),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колько-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скопи та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обладнан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ня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проведення рідинної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цитологгії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тощо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3 906,5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438,3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7 344,8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Придбання  28 одиниць медичного обладнання у пологове відділення для якісного обстеження та своєчасного надання медичної допомоги. </w:t>
            </w:r>
          </w:p>
        </w:tc>
      </w:tr>
      <w:tr w:rsidR="00BB0683" w:rsidRPr="00877810" w:rsidTr="0086612E">
        <w:trPr>
          <w:gridAfter w:val="1"/>
          <w:wAfter w:w="2000" w:type="dxa"/>
          <w:trHeight w:val="150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9.8.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noBreakHyphen/>
              <w:t xml:space="preserve">17 років; жінок з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малозабез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печених сімей, ВІЛ-позитивних жінок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Зниження ризику захворюваності на захворювання які передаються   статевим шляхом  та незапланованої вагітності. Забезпечення безоплатними контрацептивами  250 жінок з малозабезпечених сімей, ВІЛ-позитивних жінок</w:t>
            </w:r>
          </w:p>
        </w:tc>
      </w:tr>
      <w:tr w:rsidR="00BB0683" w:rsidRPr="00877810" w:rsidTr="0086612E">
        <w:trPr>
          <w:gridAfter w:val="1"/>
          <w:wAfter w:w="2000" w:type="dxa"/>
          <w:trHeight w:val="94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1649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38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9.9. Забезпечення лікуванням новонароджених, які знаходяться у відділенні новонароджених в КМУ «ДТМО»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м. Краматорськ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Надання своєчасної якісної медичної допомоги для новонароджених дітей</w:t>
            </w:r>
          </w:p>
        </w:tc>
      </w:tr>
      <w:tr w:rsidR="00BB0683" w:rsidRPr="00877810" w:rsidTr="0086612E">
        <w:trPr>
          <w:gridAfter w:val="1"/>
          <w:wAfter w:w="2000" w:type="dxa"/>
          <w:trHeight w:val="100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32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ind w:right="-11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Проведення профілактики гемолітичної хвороби новонароджених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10.1. Придбання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антирезусного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імуноглобуліну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проведення, профілактики в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передпологовий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післяпологовий період у резус-негативних вагітних жінок, які потребують у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антирезусному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імуноглобуліні  (до 156 осіб)</w:t>
            </w:r>
          </w:p>
        </w:tc>
      </w:tr>
      <w:tr w:rsidR="00BB0683" w:rsidRPr="00877810" w:rsidTr="0086612E">
        <w:trPr>
          <w:gridAfter w:val="1"/>
          <w:wAfter w:w="2000" w:type="dxa"/>
          <w:trHeight w:val="78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ind w:right="-111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1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2999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ind w:right="-11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Оснащення витратними матеріалами кабінету «Альтернатива» «Клініка, дружня  до молоді»</w:t>
            </w: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11.1. Придбання тестів на вагітність та засобів контрацепції  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Зниження ризику захворюваності на захворювання які передаються статевим шляхом  та визначення вагітності за допомогою тестів. Кількість підлітків, яким планується видача презервативів та тестів на вагітність – 2500 осіб</w:t>
            </w:r>
          </w:p>
        </w:tc>
      </w:tr>
      <w:tr w:rsidR="00BB0683" w:rsidRPr="00877810" w:rsidTr="0086612E">
        <w:trPr>
          <w:gridAfter w:val="1"/>
          <w:wAfter w:w="2000" w:type="dxa"/>
          <w:trHeight w:val="2427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0" w:right="-108" w:firstLine="2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11.2. Проведення санітарно-просвітної роботи: виготовлення печатної  продукції пам’яток, буклетів, листівок з інформацією про онкологічні захворювання та  їх профілактиці 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Кількість печатної продукції  - 833 одиниць </w:t>
            </w:r>
          </w:p>
        </w:tc>
      </w:tr>
      <w:tr w:rsidR="00BB0683" w:rsidRPr="00877810" w:rsidTr="0086612E">
        <w:trPr>
          <w:gridAfter w:val="1"/>
          <w:wAfter w:w="2000" w:type="dxa"/>
          <w:trHeight w:val="69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медикаментами для паліативного лікування невиліковних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онкохворих</w:t>
            </w:r>
            <w:proofErr w:type="spellEnd"/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12.1. Придбання знеболювальних лікарських засобів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17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 лікарських засобів для 211 осіб, які знаходяться на диспансерному обліку та потребують на паліативну допомогу</w:t>
            </w:r>
          </w:p>
        </w:tc>
      </w:tr>
      <w:tr w:rsidR="00BB0683" w:rsidRPr="00877810" w:rsidTr="0086612E">
        <w:trPr>
          <w:gridAfter w:val="1"/>
          <w:wAfter w:w="2000" w:type="dxa"/>
          <w:trHeight w:val="79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59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16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189,1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66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</w:pPr>
            <w:bookmarkStart w:id="1" w:name="_Hlk6494618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Pr="00877810">
              <w:rPr>
                <w:rFonts w:ascii="Times New Roman" w:hAnsi="Times New Roman"/>
                <w:vanish/>
                <w:sz w:val="20"/>
                <w:szCs w:val="20"/>
                <w:lang w:eastAsia="ru-RU"/>
              </w:rPr>
              <w:t xml:space="preserve"> 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медикаментами для хіміотерапевтичного лікування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онкологічно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хворих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13.1. Придбання медикаментів для проведення хіміотерапії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200,0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Комплексне лікування та зниження рецидивів. Проведення хіміотерапії для 800 осіб</w:t>
            </w:r>
          </w:p>
        </w:tc>
      </w:tr>
      <w:tr w:rsidR="00BB0683" w:rsidRPr="00877810" w:rsidTr="0086612E">
        <w:trPr>
          <w:gridAfter w:val="1"/>
          <w:wAfter w:w="2000" w:type="dxa"/>
          <w:trHeight w:val="24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85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1 685,7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2 053,7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BB0683" w:rsidRPr="00877810" w:rsidTr="0086612E">
        <w:trPr>
          <w:gridAfter w:val="1"/>
          <w:wAfter w:w="2000" w:type="dxa"/>
          <w:trHeight w:val="87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1 567,1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433,1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2 000,2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4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Проведення діагностики та лікування жінок з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передпухлин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-ною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патологією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14.1. Придбання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кольпоскопів</w:t>
            </w:r>
            <w:proofErr w:type="spellEnd"/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Міській бюджет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Профілактика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онкопатології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 жінок Придбання 2 од.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кольпоскопу</w:t>
            </w:r>
            <w:proofErr w:type="spellEnd"/>
          </w:p>
        </w:tc>
      </w:tr>
      <w:tr w:rsidR="00BB0683" w:rsidRPr="00877810" w:rsidTr="0086612E">
        <w:trPr>
          <w:gridAfter w:val="1"/>
          <w:wAfter w:w="2000" w:type="dxa"/>
          <w:trHeight w:val="83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08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Профілактика та діагностика інфекційних захворювань</w:t>
            </w:r>
          </w:p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15.1. Забезпечення населення міста медичними імунобіологічними препаратами проти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вакцінокерованих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інфекцій, зокрема сказу, правцю, тощо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Запобігання захворюваності шляхом проведення щеплень по 8-ми видам вакцин</w:t>
            </w:r>
          </w:p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53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69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1 210,2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2 410,2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819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367,4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406,2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272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хворих з </w:t>
            </w:r>
            <w:r w:rsidRPr="0087781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захворюваннями</w:t>
            </w: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серцево-судинної системи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16.1. Забезпечення кардіологічного відділення та неврологічних відділень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лікувально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профілактичного закладу  препаратами для проведення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тромболізису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 ефективними засобами профілактики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тромболітичних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ускладнень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Зниження смертності від інсультів та інфарктів міокарда . Проведення 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тромболізису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480 особам</w:t>
            </w:r>
          </w:p>
        </w:tc>
      </w:tr>
      <w:tr w:rsidR="00BB0683" w:rsidRPr="00877810" w:rsidTr="0086612E">
        <w:trPr>
          <w:gridAfter w:val="1"/>
          <w:wAfter w:w="2000" w:type="dxa"/>
          <w:trHeight w:val="70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00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455,5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780,5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55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410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населення міста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трансфузіологічною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допомогою</w:t>
            </w: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17.1. Забезпечення компенсаційними виплатами донорів за взяття крові та (або) її компонентів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трансфузіологічного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відділення КНП «БЛІЛ м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 запасом крові та її компонентів</w:t>
            </w:r>
          </w:p>
        </w:tc>
      </w:tr>
      <w:tr w:rsidR="00BB0683" w:rsidRPr="00877810" w:rsidTr="0086612E">
        <w:trPr>
          <w:gridAfter w:val="1"/>
          <w:wAfter w:w="2000" w:type="dxa"/>
          <w:trHeight w:val="83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867"/>
        </w:trPr>
        <w:tc>
          <w:tcPr>
            <w:tcW w:w="560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675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Зміцнення матеріально-технічної бази комунальних некомерційних підприємств міста</w:t>
            </w:r>
          </w:p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8661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18.1. Забезпечення медичною технікою, діагностичним та іншим обладнанням, відповідно до табелів оснащення КНП ( у т.ч. проведення капітального ремонту медичного обладнання), придбання комп’ютерного томографу для Комунального некомерційного підприємства «Багатопрофільна лікарня інтенсивного </w:t>
            </w:r>
            <w:r w:rsidR="0086612E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ікування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</w:t>
            </w:r>
            <w:r w:rsidR="007E44B6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ької ради,      КНП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167,5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1 598,0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1 765,5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Оновлення матеріально-технічної бази КНП відповідно до табелів оснащення. Придбання автоматичного біохімічного аналізатору, кап. ремонт 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КТ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(заміна трубки), придбання плазмо фільтрів та комплектів магістралей.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159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4 244,5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4 244,5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68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16 000,0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16 000,0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Придбання комп’ютерного томографу. </w:t>
            </w:r>
          </w:p>
        </w:tc>
      </w:tr>
      <w:tr w:rsidR="00BB0683" w:rsidRPr="00877810" w:rsidTr="0086612E">
        <w:trPr>
          <w:gridAfter w:val="1"/>
          <w:wAfter w:w="2000" w:type="dxa"/>
          <w:trHeight w:val="149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3 705,0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1 538,1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6 743,1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 21 одиниці медичного обладнання.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1419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18.2. Проведення реконструкцій та капітальних ремонтів в КНП охорони здоров`я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, всього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у тому числі: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8479,0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3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43 736,6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62 543,3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114 758,9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75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5 263,2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6 230,8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84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BB0683" w:rsidRPr="00F91D12" w:rsidRDefault="00E2470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3 077,0</w:t>
            </w:r>
          </w:p>
        </w:tc>
        <w:tc>
          <w:tcPr>
            <w:tcW w:w="1134" w:type="dxa"/>
          </w:tcPr>
          <w:p w:rsidR="00BB0683" w:rsidRPr="00F91D12" w:rsidRDefault="00E2470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3 077,0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2AB6" w:rsidRPr="00877810" w:rsidTr="0086612E">
        <w:trPr>
          <w:gridAfter w:val="1"/>
          <w:wAfter w:w="2000" w:type="dxa"/>
          <w:trHeight w:hRule="exact" w:val="691"/>
        </w:trPr>
        <w:tc>
          <w:tcPr>
            <w:tcW w:w="560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3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F32AB6" w:rsidRPr="00F91D12" w:rsidRDefault="00E2470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="00F32AB6"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34" w:type="dxa"/>
          </w:tcPr>
          <w:p w:rsidR="00F32AB6" w:rsidRPr="00F91D12" w:rsidRDefault="00E2470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F32AB6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2136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hRule="exact" w:val="712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1003,0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292,2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41 000,0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42 295,2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2AB6" w:rsidRPr="00877810" w:rsidTr="0086612E">
        <w:trPr>
          <w:gridAfter w:val="1"/>
          <w:wAfter w:w="2000" w:type="dxa"/>
          <w:trHeight w:hRule="exact" w:val="994"/>
        </w:trPr>
        <w:tc>
          <w:tcPr>
            <w:tcW w:w="560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18.2.1. «Реконструкція корпусу № 1 КЗОЗ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центральна районна лікарня» за адресою: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вул. Мира, буд.10», у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коригування проектно-кошторисної документації та її експертизи</w:t>
            </w:r>
          </w:p>
        </w:tc>
        <w:tc>
          <w:tcPr>
            <w:tcW w:w="1272" w:type="dxa"/>
            <w:vMerge w:val="restart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2018-2019 роки</w:t>
            </w:r>
          </w:p>
        </w:tc>
        <w:tc>
          <w:tcPr>
            <w:tcW w:w="1836" w:type="dxa"/>
            <w:gridSpan w:val="2"/>
            <w:vMerge w:val="restart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      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 бюджет</w:t>
            </w:r>
          </w:p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8 479,0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43 736,6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52 215,6</w:t>
            </w:r>
          </w:p>
        </w:tc>
        <w:tc>
          <w:tcPr>
            <w:tcW w:w="2136" w:type="dxa"/>
            <w:vMerge w:val="restart"/>
          </w:tcPr>
          <w:p w:rsidR="00F32AB6" w:rsidRPr="00877810" w:rsidRDefault="00F32AB6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F32AB6" w:rsidRPr="00877810" w:rsidTr="0086612E">
        <w:trPr>
          <w:gridAfter w:val="1"/>
          <w:wAfter w:w="2000" w:type="dxa"/>
          <w:trHeight w:hRule="exact" w:val="1080"/>
        </w:trPr>
        <w:tc>
          <w:tcPr>
            <w:tcW w:w="560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4 859,6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5 790,7</w:t>
            </w:r>
          </w:p>
        </w:tc>
        <w:tc>
          <w:tcPr>
            <w:tcW w:w="2136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2AB6" w:rsidRPr="00877810" w:rsidTr="0086612E">
        <w:trPr>
          <w:gridAfter w:val="1"/>
          <w:wAfter w:w="2000" w:type="dxa"/>
          <w:trHeight w:val="890"/>
        </w:trPr>
        <w:tc>
          <w:tcPr>
            <w:tcW w:w="560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1410,0</w:t>
            </w:r>
          </w:p>
        </w:tc>
        <w:tc>
          <w:tcPr>
            <w:tcW w:w="1134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1410,0</w:t>
            </w:r>
          </w:p>
        </w:tc>
        <w:tc>
          <w:tcPr>
            <w:tcW w:w="2136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2AB6" w:rsidRPr="00877810" w:rsidTr="0086612E">
        <w:trPr>
          <w:gridAfter w:val="1"/>
          <w:wAfter w:w="2000" w:type="dxa"/>
          <w:trHeight w:val="820"/>
        </w:trPr>
        <w:tc>
          <w:tcPr>
            <w:tcW w:w="560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3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D71F99" w:rsidRPr="00877810" w:rsidRDefault="00D71F99" w:rsidP="00D71F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1134" w:type="dxa"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2136" w:type="dxa"/>
            <w:vMerge/>
          </w:tcPr>
          <w:p w:rsidR="00F32AB6" w:rsidRPr="00877810" w:rsidRDefault="00F32AB6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12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18.2.2. Реконструкція корпусу № 2 КЗОЗ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центральна районна лікарня» за адресою: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вул. Миру,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буд.10»,  у т.ч. коригування проектно-кошторисної документації та її експертизи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2019 - 2020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 бюджет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16 743,7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40 992,6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57 736,3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1433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18.2.2.1.</w:t>
            </w:r>
          </w:p>
          <w:p w:rsidR="00BB0683" w:rsidRPr="00877810" w:rsidRDefault="00BB0683" w:rsidP="006D13E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Страхування робіт по реконструкції корпусу</w:t>
            </w:r>
            <w:r w:rsidR="006D13EA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2  </w:t>
            </w:r>
            <w:r w:rsidR="006D13EA"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КЗОЗ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центральна районна лікарня» за адресою: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вул. Мира, буд.10 та конвертація валют.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 – 2020 роки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Міський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бюджет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39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C6119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292,8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175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18.2.3 Капітальний ремонт шиферної покрівлі лікувального корпусу № 3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за адресою: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вул. Миру, буд.10, у т.ч. розробка проектно-кошторисної документації її експертиза та технічний нагляд.</w:t>
            </w: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 рік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1267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1 003,0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1 003,0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2406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Default="00BB0683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18.2.4 Капітальний ремонт покрівель будівель та споруд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за адресою: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вул. Ювілейна, буд.54, у т. ч. розробка проектно-кошторисної документації та її експертиза.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292,2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942,2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212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18.2.5 Капітальний ремонт фасаду КНП "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стоматологічна поліклініка", у т.ч. розробка проектно-кошторисної документації та її експертиза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стоматологічна поліклініка»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1408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18.2.6. Будівництво відділення невідкладної (екстреної) медичної допомоги по вул. Миру, 10</w:t>
            </w: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40 250,0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40 250,0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hRule="exact" w:val="1151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18.2.7. Будівництво амбулаторії загальної практики сімейної медицини по вул. Освітня, 2             с. Іванівське </w:t>
            </w:r>
          </w:p>
          <w:p w:rsidR="00BB0683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ОТГ, у т.ч. розробка проектно-кошторисної документації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136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 рівня надання медичної допомоги</w:t>
            </w:r>
          </w:p>
        </w:tc>
      </w:tr>
      <w:tr w:rsidR="00BB0683" w:rsidRPr="00877810" w:rsidTr="0086612E">
        <w:trPr>
          <w:gridAfter w:val="1"/>
          <w:wAfter w:w="2000" w:type="dxa"/>
          <w:trHeight w:val="640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824,2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824,2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555"/>
        </w:trPr>
        <w:tc>
          <w:tcPr>
            <w:tcW w:w="560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9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4 807,0</w:t>
            </w:r>
          </w:p>
        </w:tc>
        <w:tc>
          <w:tcPr>
            <w:tcW w:w="1145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4 807,0</w:t>
            </w:r>
          </w:p>
        </w:tc>
        <w:tc>
          <w:tcPr>
            <w:tcW w:w="2136" w:type="dxa"/>
            <w:vMerge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0683" w:rsidRPr="00877810" w:rsidTr="0086612E">
        <w:trPr>
          <w:gridAfter w:val="1"/>
          <w:wAfter w:w="2000" w:type="dxa"/>
          <w:trHeight w:val="951"/>
        </w:trPr>
        <w:tc>
          <w:tcPr>
            <w:tcW w:w="560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BB0683" w:rsidRDefault="00BB0683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18.2.8 Розробка проектно-кошторисної документації капітального ремонту головного корпусу та поліклінічного відділення (дитяча лікарня)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за адресою: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, вул. Ювілейна, 54 та проведення експертизи проектної документації</w:t>
            </w:r>
          </w:p>
          <w:p w:rsidR="0086612E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</w:tcPr>
          <w:p w:rsidR="00BB0683" w:rsidRPr="00877810" w:rsidRDefault="00BB0683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136" w:type="dxa"/>
          </w:tcPr>
          <w:p w:rsidR="00BB0683" w:rsidRPr="00877810" w:rsidRDefault="00BB0683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Зміцнення матеріально  технічної  бази КНП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ІІ рівня надання медичної допомоги</w:t>
            </w:r>
          </w:p>
        </w:tc>
      </w:tr>
      <w:tr w:rsidR="0086612E" w:rsidRPr="00877810" w:rsidTr="0086612E">
        <w:trPr>
          <w:gridAfter w:val="1"/>
          <w:wAfter w:w="2000" w:type="dxa"/>
          <w:trHeight w:val="1272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86612E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18.2.9 Р</w:t>
            </w:r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еконструкція </w:t>
            </w:r>
            <w:r w:rsid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будівлі </w:t>
            </w:r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>централ</w:t>
            </w:r>
            <w:r w:rsidR="00A122E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ізованого </w:t>
            </w:r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стерилізаційного відділення  КНП "БЛІЛ </w:t>
            </w:r>
            <w:proofErr w:type="spellStart"/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>м.Бахмут</w:t>
            </w:r>
            <w:proofErr w:type="spellEnd"/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  за  адресою: м. </w:t>
            </w:r>
            <w:proofErr w:type="spellStart"/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>, вул. Миру,10,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 тому числі  розробка проектно-кошторисної документації та її експертиза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</w:tcPr>
          <w:p w:rsidR="0086612E" w:rsidRPr="00877810" w:rsidRDefault="0086612E" w:rsidP="009813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val="1920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7 000,0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7 000,0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680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Розвиток інфраструктури системи охорони здоров`я міста</w:t>
            </w: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19.1.Встановлення та модернізація ліфтів в КНП «ЦПМД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2020 рік 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Встановлення 1-го ліфту - підйомника відповідно до потреб населення з обмеженими можливостями у двоповерховій будівлі поліклініки КНП «ЦПМД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86612E" w:rsidRPr="00877810" w:rsidTr="0086612E">
        <w:trPr>
          <w:gridAfter w:val="1"/>
          <w:wAfter w:w="2000" w:type="dxa"/>
          <w:trHeight w:val="1487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780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17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19.2.Проведення  капітального ремонту та пусконалагоджувальних  робіт ліфту в КНП «ЦПМД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176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Проведення ремонтних та пусконалагоджувальних  робіт ліфту у 4-х поверховій будівлі в КНП «ЦПМД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3790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49" w:type="dxa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19.3 Заміна централізованої системи опалення на електричну зі збільшенням 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електропотужності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 виконання робіт з монтажу та повірці електричного опалення амбулаторії № 10 КНП «ЦПМД   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 за адресою: с. Зайцеве, вул. Кооперативна,15а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2136" w:type="dxa"/>
            <w:shd w:val="clear" w:color="auto" w:fill="FFFFFF" w:themeFill="background1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якісних умов для надання первинної медичної допомоги населенню с.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Зайцево</w:t>
            </w:r>
            <w:proofErr w:type="spellEnd"/>
          </w:p>
        </w:tc>
      </w:tr>
      <w:tr w:rsidR="0086612E" w:rsidRPr="00877810" w:rsidTr="0086612E">
        <w:trPr>
          <w:gridAfter w:val="1"/>
          <w:wAfter w:w="2000" w:type="dxa"/>
          <w:trHeight w:hRule="exact" w:val="1782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19.4 Поточний ремонт фельдшерського пункту КНП «ЦПМД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 в                     с. Відродження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якісних умов для надання первинної медичної допомоги населенню с. Відродження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251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ind w:righ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19.5. </w:t>
            </w:r>
            <w:r w:rsidRPr="00877810">
              <w:rPr>
                <w:rFonts w:ascii="Times New Roman" w:hAnsi="Times New Roman"/>
                <w:sz w:val="20"/>
                <w:szCs w:val="20"/>
              </w:rPr>
              <w:t xml:space="preserve">Поточний ремонт  амбулаторії №1 КНП «ЦПМД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здоров`я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  <w:tc>
          <w:tcPr>
            <w:tcW w:w="983" w:type="dxa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86612E" w:rsidRPr="00877810" w:rsidRDefault="0086612E" w:rsidP="00DC42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36" w:type="dxa"/>
          </w:tcPr>
          <w:p w:rsidR="0086612E" w:rsidRPr="00877810" w:rsidRDefault="0086612E" w:rsidP="00DC42C0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якісних умов для надання первинної медичної допомоги населенню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ОТГ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2852"/>
        </w:trPr>
        <w:tc>
          <w:tcPr>
            <w:tcW w:w="560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675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населення                   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міської ОТГ лікарськими засобами для лікування окремих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захворювань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20.1.Відшкодування вартості лікарських засобів  для лікування окремих захворювань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2018-2019 роки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firstLine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 бюджет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2 317,9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2 830,1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Покращення ефективності лікування за рахунок забезпечення лікарськими засобами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134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Забезпечення хворих на цукровий та нецукровий діабет препаратами інсуліну</w:t>
            </w: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21.1.Відшкодування вартості препаратів інсуліну для лікування хворих на цукровий та нецукровий діабет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2018-2020 роки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1 428,4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2 020,0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3 448,4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Покращення ефективності лікування хворих на цукровий та нецукровий діабет за рахунок забезпечення препаратами інсуліну та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цукрознижуючими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препаратами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122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854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135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1 161,0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4 300,0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7 381,0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505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21.2. Забезпечення хворих на нецукровий діабет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цукрознижуючими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препаратами та лікарськими засобами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2001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22.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Забезпечення безкоштовного доступу населення до обстеження на ВІЛ-інфекцію (крім вагітних та донорів) та ВІЛ-асоційованих інфекцій (гепатит В, С) не менше 5%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22.1. Придбання тест/систем, реактивів та систем відбору крові задля добровільного консультування і тестування на ВІЛ-інфекцію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 роки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КНП «ЦПМД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309,0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309,0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Раннє виявлення у населення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ВІЛ-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інфекції та надання своєчасних послуг з профілактики, лікування та догляду людям, які живуть з ВІЛ-інфекцією  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533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746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Попередження народження дітей з вродженими вадами розвитку</w:t>
            </w: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23.1. Проведення добровільного обстеження на TORCH – інфекцію осіб, що подали заяву про реєстрацію шлюбу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 роки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Зниження показників захворюваності дітей до 1-го року, народжених з вродженими вадами розвитку за рахунок добровільного обстеження на TORCH – інфекцію осіб, що подали заяву про реєстрацію шлюбу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090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884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Участь лікувальних закладів у соціально-економічному розвитку </w:t>
            </w: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24.1.Участь у конкурсі проектів місцевого розвитку, спрямованих на вирішення соціальних проблем лікувальних закладів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2019-2020 роки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295,2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295,2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Оновлення матеріально-технічної бази КНП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 медичного та іншого обладнання у кількості 38 одиниць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722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548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516,6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666,6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2710"/>
        </w:trPr>
        <w:tc>
          <w:tcPr>
            <w:tcW w:w="560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25.</w:t>
            </w:r>
          </w:p>
        </w:tc>
        <w:tc>
          <w:tcPr>
            <w:tcW w:w="1675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населення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міської ОТГ доступною медичною допомогою на первинному рівні</w:t>
            </w:r>
          </w:p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Покращення умов надання медичних послуг сільському населенню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 на первинному рівні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«ЦПМД        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1 582,2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1 582,2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функціонування 5-ти амбулаторій та 8 фельдшерських пунктів у сільській місцевості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3175"/>
        </w:trPr>
        <w:tc>
          <w:tcPr>
            <w:tcW w:w="560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75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Забезпечення надання медичних послуг населенню </w:t>
            </w:r>
            <w:proofErr w:type="spellStart"/>
            <w:r w:rsidRPr="0087781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міської ОТГ понад обсяг, передбачений програмою державних гарантій </w:t>
            </w: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26.1 Забезпечення сталого   функціонування кабінету "Альтернатива "Клініка, дружня до молоді»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        КНП «БЛІЛ       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Для особливої допомоги підліткам, налагодження  комунікацій з підлітками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701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26.2 Стаціонарне обстеження дітей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 ОТГ, які позбавлені батьківського піклування або оформлюються до державних установ</w:t>
            </w: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  <w:tcBorders>
              <w:bottom w:val="nil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        КНП «БЛІЛ       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  <w:tcBorders>
              <w:bottom w:val="nil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Обстеження стану здоров’я. надання необхідної медичної допомоги в стаціонарних умовах</w:t>
            </w:r>
          </w:p>
        </w:tc>
      </w:tr>
      <w:tr w:rsidR="0086612E" w:rsidRPr="00877810" w:rsidTr="0086612E">
        <w:trPr>
          <w:gridAfter w:val="1"/>
          <w:wAfter w:w="2000" w:type="dxa"/>
          <w:trHeight w:val="1269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tcBorders>
              <w:top w:val="nil"/>
            </w:tcBorders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3" w:type="dxa"/>
            <w:gridSpan w:val="3"/>
            <w:tcBorders>
              <w:top w:val="nil"/>
            </w:tcBorders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4694"/>
        </w:trPr>
        <w:tc>
          <w:tcPr>
            <w:tcW w:w="560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675" w:type="dxa"/>
          </w:tcPr>
          <w:p w:rsidR="0086612E" w:rsidRPr="007C41A2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C41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сталої роботи медичної комісії військкомату </w:t>
            </w:r>
          </w:p>
        </w:tc>
        <w:tc>
          <w:tcPr>
            <w:tcW w:w="2149" w:type="dxa"/>
          </w:tcPr>
          <w:p w:rsidR="0086612E" w:rsidRPr="00877810" w:rsidRDefault="0086612E" w:rsidP="004B47E5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27.1.Проведення медичного огляду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досліджень в умовах стаціонару для надання висновків про стан здоров`я громадянам призивного віку та приписників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а також виплата заробітної плати членам лікарської комісії при військкоматі, склад якої затверджено наказом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», КНП «БСП»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931,6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931,6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Визначення ступеня придатності до військової служби, аналіз результатів медичного огляду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4836"/>
        </w:trPr>
        <w:tc>
          <w:tcPr>
            <w:tcW w:w="560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75" w:type="dxa"/>
          </w:tcPr>
          <w:p w:rsidR="0086612E" w:rsidRPr="007C41A2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C41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Забезпечення безпеки при виникненні пожежі та інших надзвичайних ситуацій або при загрозі їх виникнення мало мобільних хворих, які знаходяться на лікуванні в стаціонарних відділеннях КНП «БЛІЛ  м. </w:t>
            </w:r>
            <w:proofErr w:type="spellStart"/>
            <w:r w:rsidRPr="007C41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Бахмут</w:t>
            </w:r>
            <w:proofErr w:type="spellEnd"/>
            <w:r w:rsidRPr="007C41A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2149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28.1 Придбання 15-ти комплектів «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матрац-ношів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2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136" w:type="dxa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Досягнення рівня безпеки мало мобільних хворих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000"/>
        </w:trPr>
        <w:tc>
          <w:tcPr>
            <w:tcW w:w="560" w:type="dxa"/>
            <w:vMerge w:val="restart"/>
            <w:shd w:val="clear" w:color="auto" w:fill="auto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675" w:type="dxa"/>
            <w:vMerge w:val="restart"/>
          </w:tcPr>
          <w:p w:rsidR="0086612E" w:rsidRPr="00877810" w:rsidRDefault="0086612E" w:rsidP="0086612E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Запобігання виникненню і поширенню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коронавірусної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хвороби             COVID -19  на території </w:t>
            </w:r>
            <w:proofErr w:type="spellStart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міської ОТГ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86612E">
              <w:rPr>
                <w:rFonts w:ascii="Times New Roman" w:hAnsi="Times New Roman"/>
                <w:sz w:val="20"/>
                <w:szCs w:val="20"/>
                <w:lang w:eastAsia="ru-RU"/>
              </w:rPr>
              <w:t>(Застосовується з 01 квітня 2020 року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29.1 Придбання лікарських засобів , товарів медичного призначення для лікування населення та засобів індивідуального захисту для працівників  КНП охорони здоров`я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2020 рік</w:t>
            </w:r>
          </w:p>
        </w:tc>
        <w:tc>
          <w:tcPr>
            <w:tcW w:w="1836" w:type="dxa"/>
            <w:gridSpan w:val="2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Управління охорони здоров’я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ради, КНП «БЛІЛ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КНП «ЦПМД </w:t>
            </w: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7" w:type="dxa"/>
            <w:gridSpan w:val="2"/>
          </w:tcPr>
          <w:p w:rsidR="0086612E" w:rsidRPr="00877810" w:rsidRDefault="0086612E" w:rsidP="009C02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3A70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населення лікарськими засобами та медичних працівників засобами індивідуального захисту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704"/>
        </w:trPr>
        <w:tc>
          <w:tcPr>
            <w:tcW w:w="560" w:type="dxa"/>
            <w:vMerge/>
            <w:shd w:val="clear" w:color="auto" w:fill="auto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D44F19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9C025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3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3116"/>
        </w:trPr>
        <w:tc>
          <w:tcPr>
            <w:tcW w:w="560" w:type="dxa"/>
            <w:vMerge/>
            <w:shd w:val="clear" w:color="auto" w:fill="auto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D44F19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49" w:type="dxa"/>
          </w:tcPr>
          <w:p w:rsidR="0086612E" w:rsidRPr="00877810" w:rsidRDefault="0086612E" w:rsidP="009E753A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29.2 Забезпечення КНП охорони здоров`я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паливно-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мастильними матеріалами, у тому числі для транспортування до робочих місць медичних працівників КНП на час дії карантину</w:t>
            </w: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6" w:type="dxa"/>
            <w:gridSpan w:val="2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hanging="29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2"/>
          </w:tcPr>
          <w:p w:rsidR="0086612E" w:rsidRPr="00877810" w:rsidRDefault="0086612E" w:rsidP="00EE6B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EE6B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86612E" w:rsidRPr="00877810" w:rsidRDefault="0086612E" w:rsidP="00EE6B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EE6B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3A70A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</w:tcPr>
          <w:p w:rsidR="0086612E" w:rsidRPr="00877810" w:rsidRDefault="0086612E" w:rsidP="00EE6BD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2136" w:type="dxa"/>
          </w:tcPr>
          <w:p w:rsidR="0086612E" w:rsidRPr="00877810" w:rsidRDefault="0086612E" w:rsidP="003D3DA4">
            <w:pPr>
              <w:shd w:val="clear" w:color="auto" w:fill="FFFFFF"/>
              <w:spacing w:after="326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 умов праці медичним працівникам для надання своєчасної медичної допомоги населенню на час дії карантину.</w:t>
            </w:r>
          </w:p>
        </w:tc>
      </w:tr>
      <w:tr w:rsidR="0086612E" w:rsidRPr="00877810" w:rsidTr="0086612E">
        <w:trPr>
          <w:gridAfter w:val="1"/>
          <w:wAfter w:w="2000" w:type="dxa"/>
          <w:trHeight w:hRule="exact" w:val="1133"/>
        </w:trPr>
        <w:tc>
          <w:tcPr>
            <w:tcW w:w="560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Міський бюджет            м.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Бахмута</w:t>
            </w:r>
            <w:proofErr w:type="spellEnd"/>
          </w:p>
        </w:tc>
        <w:tc>
          <w:tcPr>
            <w:tcW w:w="989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13 400,8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23 447,1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36 847,9</w:t>
            </w:r>
          </w:p>
        </w:tc>
        <w:tc>
          <w:tcPr>
            <w:tcW w:w="2136" w:type="dxa"/>
            <w:vMerge w:val="restart"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1277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міської ОТГ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0" w:type="dxa"/>
            <w:gridSpan w:val="2"/>
          </w:tcPr>
          <w:p w:rsidR="0086612E" w:rsidRPr="00F91D12" w:rsidRDefault="0086612E" w:rsidP="0084577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25 </w:t>
            </w:r>
            <w:r w:rsidR="0084577E"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</w:tcPr>
          <w:p w:rsidR="0086612E" w:rsidRPr="00F91D12" w:rsidRDefault="0086612E" w:rsidP="0084577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25 </w:t>
            </w:r>
            <w:r w:rsidR="0084577E"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86612E">
        <w:trPr>
          <w:gridAfter w:val="1"/>
          <w:wAfter w:w="2000" w:type="dxa"/>
          <w:trHeight w:hRule="exact" w:val="846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ind w:left="-29" w:firstLine="2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989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140" w:type="dxa"/>
            <w:gridSpan w:val="2"/>
          </w:tcPr>
          <w:p w:rsidR="0086612E" w:rsidRPr="00F91D12" w:rsidRDefault="0084577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 </w:t>
            </w:r>
            <w:r w:rsidR="0086612E"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000,0 </w:t>
            </w:r>
          </w:p>
        </w:tc>
        <w:tc>
          <w:tcPr>
            <w:tcW w:w="1134" w:type="dxa"/>
          </w:tcPr>
          <w:p w:rsidR="0086612E" w:rsidRPr="00F91D12" w:rsidRDefault="0086612E" w:rsidP="0084577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84577E"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0"/>
                <w:szCs w:val="20"/>
                <w:lang w:eastAsia="ru-RU"/>
              </w:rPr>
              <w:t> 660,6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326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34729B">
        <w:trPr>
          <w:gridAfter w:val="1"/>
          <w:wAfter w:w="2000" w:type="dxa"/>
          <w:trHeight w:hRule="exact" w:val="867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Державний бюджет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12 745,4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65 199,0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53 568,3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131 512,7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34729B">
        <w:trPr>
          <w:gridAfter w:val="1"/>
          <w:wAfter w:w="2000" w:type="dxa"/>
          <w:trHeight w:hRule="exact" w:val="1262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Національна служба здоров`я України</w:t>
            </w:r>
          </w:p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140" w:type="dxa"/>
            <w:gridSpan w:val="2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134" w:type="dxa"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474,2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34729B">
        <w:trPr>
          <w:gridAfter w:val="1"/>
          <w:wAfter w:w="2000" w:type="dxa"/>
          <w:trHeight w:val="834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Інші джерела</w:t>
            </w: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12 106,1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3 908,7</w:t>
            </w: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51 475,6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>67 490,4</w:t>
            </w:r>
          </w:p>
        </w:tc>
        <w:tc>
          <w:tcPr>
            <w:tcW w:w="2136" w:type="dxa"/>
            <w:vMerge/>
            <w:tcBorders>
              <w:bottom w:val="single" w:sz="4" w:space="0" w:color="auto"/>
            </w:tcBorders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612E" w:rsidRPr="00877810" w:rsidTr="0034729B">
        <w:trPr>
          <w:gridAfter w:val="1"/>
          <w:wAfter w:w="2000" w:type="dxa"/>
          <w:trHeight w:val="704"/>
        </w:trPr>
        <w:tc>
          <w:tcPr>
            <w:tcW w:w="560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</w:tcPr>
          <w:p w:rsidR="0086612E" w:rsidRPr="0034729B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4729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989" w:type="dxa"/>
            <w:gridSpan w:val="2"/>
          </w:tcPr>
          <w:p w:rsidR="0086612E" w:rsidRPr="00F91D12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38 912,9</w:t>
            </w:r>
          </w:p>
        </w:tc>
        <w:tc>
          <w:tcPr>
            <w:tcW w:w="1134" w:type="dxa"/>
          </w:tcPr>
          <w:p w:rsidR="0086612E" w:rsidRPr="00F91D12" w:rsidRDefault="0086612E" w:rsidP="00584E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108 888,4</w:t>
            </w:r>
          </w:p>
        </w:tc>
        <w:tc>
          <w:tcPr>
            <w:tcW w:w="1140" w:type="dxa"/>
            <w:gridSpan w:val="2"/>
          </w:tcPr>
          <w:p w:rsidR="0086612E" w:rsidRPr="00F91D12" w:rsidRDefault="004A2F62" w:rsidP="0084577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141</w:t>
            </w:r>
            <w:r w:rsidR="0086612E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84577E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86612E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134" w:type="dxa"/>
          </w:tcPr>
          <w:p w:rsidR="0086612E" w:rsidRPr="00F91D12" w:rsidRDefault="0086612E" w:rsidP="004A2F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="004A2F62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84577E"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2136" w:type="dxa"/>
            <w:vMerge/>
          </w:tcPr>
          <w:p w:rsidR="0086612E" w:rsidRPr="00877810" w:rsidRDefault="0086612E" w:rsidP="00584E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Додаток 1 «Заходи з реалізації </w:t>
      </w:r>
      <w:r w:rsidRPr="00877810">
        <w:rPr>
          <w:rFonts w:ascii="Times New Roman" w:hAnsi="Times New Roman"/>
          <w:i/>
          <w:spacing w:val="-1"/>
          <w:sz w:val="28"/>
          <w:szCs w:val="28"/>
          <w:lang w:eastAsia="ru-RU"/>
        </w:rPr>
        <w:t>Комплексної програми» до Комплексної програми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«Охорона здоров’я населення на 2018 – 2020 роки», затвердженої рішенням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 від 31.01.2018 № 6/109 – 2075</w:t>
      </w:r>
      <w:r w:rsidR="004F5576"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, із змінами 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підготовлено Управлінням охорони здоров’я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ради.</w:t>
      </w: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tbl>
      <w:tblPr>
        <w:tblW w:w="15090" w:type="dxa"/>
        <w:tblInd w:w="-86" w:type="dxa"/>
        <w:tblLook w:val="0000"/>
      </w:tblPr>
      <w:tblGrid>
        <w:gridCol w:w="8030"/>
        <w:gridCol w:w="1860"/>
        <w:gridCol w:w="5200"/>
      </w:tblGrid>
      <w:tr w:rsidR="00BB0683" w:rsidRPr="00877810" w:rsidTr="0042057E">
        <w:trPr>
          <w:trHeight w:val="708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Управління охорони </w:t>
            </w: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здоров’я 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  <w:vAlign w:val="center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О. О. Миронова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683" w:rsidRPr="00877810" w:rsidTr="0042057E">
        <w:trPr>
          <w:trHeight w:val="533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ind w:left="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ind w:left="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І.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Кіщенко</w:t>
            </w:r>
            <w:proofErr w:type="spellEnd"/>
          </w:p>
        </w:tc>
      </w:tr>
    </w:tbl>
    <w:p w:rsidR="00BB0683" w:rsidRPr="00877810" w:rsidRDefault="00BB0683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B0683" w:rsidRDefault="00BB0683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B47E5" w:rsidRDefault="004B47E5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B0683" w:rsidRPr="00877810" w:rsidRDefault="0034729B" w:rsidP="00B17F6B">
      <w:pPr>
        <w:shd w:val="clear" w:color="auto" w:fill="FFFFFF"/>
        <w:spacing w:after="0" w:line="240" w:lineRule="auto"/>
        <w:ind w:left="10619" w:firstLine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Д</w:t>
      </w:r>
      <w:r w:rsidR="00BB0683" w:rsidRPr="00877810">
        <w:rPr>
          <w:rFonts w:ascii="Times New Roman" w:hAnsi="Times New Roman"/>
          <w:b/>
          <w:bCs/>
          <w:sz w:val="24"/>
          <w:szCs w:val="24"/>
          <w:lang w:eastAsia="ru-RU"/>
        </w:rPr>
        <w:t>одаток  2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0620" w:firstLine="4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до Комплексної програми «Охорона здоров’я населення на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2018-2020 роки», затвердженої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рішенням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31.01.2018 №6/109 – 2075, із змінами </w:t>
      </w:r>
    </w:p>
    <w:p w:rsidR="00BB0683" w:rsidRPr="00877810" w:rsidRDefault="00BB0683" w:rsidP="001A2DB2">
      <w:pPr>
        <w:shd w:val="clear" w:color="auto" w:fill="FFFFFF"/>
        <w:spacing w:after="0" w:line="240" w:lineRule="auto"/>
        <w:ind w:left="10632"/>
        <w:rPr>
          <w:rFonts w:ascii="Times New Roman" w:hAnsi="Times New Roman"/>
          <w:b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(Додаток 2 у редакції рішення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</w:t>
      </w:r>
      <w:r w:rsidR="001A2DB2" w:rsidRPr="001A2DB2">
        <w:rPr>
          <w:rFonts w:ascii="Times New Roman" w:hAnsi="Times New Roman"/>
          <w:sz w:val="24"/>
          <w:szCs w:val="24"/>
        </w:rPr>
        <w:t>21.04.2020 № 6/141-2965</w:t>
      </w:r>
      <w:r w:rsidR="001A2DB2">
        <w:rPr>
          <w:rFonts w:ascii="Times New Roman" w:hAnsi="Times New Roman"/>
          <w:sz w:val="24"/>
          <w:szCs w:val="24"/>
        </w:rPr>
        <w:t>)</w:t>
      </w:r>
    </w:p>
    <w:p w:rsidR="00BB0683" w:rsidRPr="00877810" w:rsidRDefault="00BB0683" w:rsidP="00B17F6B">
      <w:pPr>
        <w:shd w:val="clear" w:color="auto" w:fill="FFFFFF"/>
        <w:tabs>
          <w:tab w:val="left" w:pos="121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877810">
        <w:rPr>
          <w:rFonts w:ascii="Times New Roman" w:hAnsi="Times New Roman"/>
          <w:b/>
          <w:sz w:val="24"/>
          <w:szCs w:val="24"/>
          <w:lang w:eastAsia="ru-RU"/>
        </w:rPr>
        <w:t xml:space="preserve">Показники результативності Комплексної Програми </w:t>
      </w:r>
    </w:p>
    <w:p w:rsidR="00BB0683" w:rsidRPr="00877810" w:rsidRDefault="00BB0683" w:rsidP="00B17F6B">
      <w:pPr>
        <w:shd w:val="clear" w:color="auto" w:fill="FFFFFF"/>
        <w:tabs>
          <w:tab w:val="left" w:pos="121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W w:w="1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18"/>
        <w:gridCol w:w="6969"/>
        <w:gridCol w:w="1423"/>
        <w:gridCol w:w="1277"/>
        <w:gridCol w:w="252"/>
        <w:gridCol w:w="36"/>
        <w:gridCol w:w="1361"/>
        <w:gridCol w:w="1649"/>
        <w:gridCol w:w="1649"/>
      </w:tblGrid>
      <w:tr w:rsidR="00BB0683" w:rsidRPr="00877810" w:rsidTr="00584E62">
        <w:trPr>
          <w:trHeight w:val="310"/>
        </w:trPr>
        <w:tc>
          <w:tcPr>
            <w:tcW w:w="65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987" w:type="dxa"/>
            <w:gridSpan w:val="2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1423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565" w:type="dxa"/>
            <w:gridSpan w:val="3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Вихідні дані на початок дії програми</w:t>
            </w:r>
          </w:p>
        </w:tc>
        <w:tc>
          <w:tcPr>
            <w:tcW w:w="1361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2018 рік</w:t>
            </w:r>
          </w:p>
        </w:tc>
        <w:tc>
          <w:tcPr>
            <w:tcW w:w="16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2019 рік</w:t>
            </w:r>
          </w:p>
        </w:tc>
        <w:tc>
          <w:tcPr>
            <w:tcW w:w="1649" w:type="dxa"/>
            <w:vMerge w:val="restart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2020 рік</w:t>
            </w:r>
          </w:p>
        </w:tc>
      </w:tr>
      <w:tr w:rsidR="00BB0683" w:rsidRPr="00877810" w:rsidTr="00584E62">
        <w:trPr>
          <w:trHeight w:val="322"/>
        </w:trPr>
        <w:tc>
          <w:tcPr>
            <w:tcW w:w="65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87" w:type="dxa"/>
            <w:gridSpan w:val="2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gridSpan w:val="3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683" w:rsidRPr="00877810" w:rsidTr="00584E62">
        <w:trPr>
          <w:trHeight w:val="63"/>
        </w:trPr>
        <w:tc>
          <w:tcPr>
            <w:tcW w:w="65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5" w:type="dxa"/>
            <w:gridSpan w:val="3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1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B0683" w:rsidRPr="00877810" w:rsidTr="00584E62">
        <w:trPr>
          <w:trHeight w:val="63"/>
        </w:trPr>
        <w:tc>
          <w:tcPr>
            <w:tcW w:w="15293" w:type="dxa"/>
            <w:gridSpan w:val="10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І. Показники витрат</w:t>
            </w:r>
          </w:p>
        </w:tc>
      </w:tr>
      <w:tr w:rsidR="00F91D12" w:rsidRPr="00F91D12" w:rsidTr="00584E62">
        <w:trPr>
          <w:trHeight w:val="63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Загальний обсяг витрат на реалізацію заходів Комплексної програми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565" w:type="dxa"/>
            <w:gridSpan w:val="3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1" w:type="dxa"/>
          </w:tcPr>
          <w:p w:rsidR="00BB0683" w:rsidRPr="00F91D12" w:rsidRDefault="00BB0683" w:rsidP="00584E6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D12">
              <w:rPr>
                <w:rFonts w:ascii="Times New Roman" w:hAnsi="Times New Roman"/>
                <w:b/>
              </w:rPr>
              <w:t>38 912,9</w:t>
            </w:r>
          </w:p>
        </w:tc>
        <w:tc>
          <w:tcPr>
            <w:tcW w:w="1649" w:type="dxa"/>
          </w:tcPr>
          <w:p w:rsidR="00BB0683" w:rsidRPr="00F91D12" w:rsidRDefault="00BB0683" w:rsidP="00584E6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D12">
              <w:rPr>
                <w:rFonts w:ascii="Times New Roman" w:hAnsi="Times New Roman"/>
                <w:b/>
              </w:rPr>
              <w:t>108 888,4</w:t>
            </w:r>
          </w:p>
        </w:tc>
        <w:tc>
          <w:tcPr>
            <w:tcW w:w="1649" w:type="dxa"/>
          </w:tcPr>
          <w:p w:rsidR="00BB0683" w:rsidRPr="00F91D12" w:rsidRDefault="000C1C7F" w:rsidP="0069473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D12">
              <w:rPr>
                <w:rFonts w:ascii="Times New Roman" w:hAnsi="Times New Roman"/>
                <w:b/>
              </w:rPr>
              <w:t>141 918,9</w:t>
            </w:r>
          </w:p>
        </w:tc>
      </w:tr>
      <w:tr w:rsidR="00BB0683" w:rsidRPr="00877810" w:rsidTr="00584E62">
        <w:trPr>
          <w:trHeight w:val="204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6" w:type="dxa"/>
            <w:gridSpan w:val="8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ІІ. Показники продукту</w:t>
            </w:r>
          </w:p>
        </w:tc>
      </w:tr>
      <w:tr w:rsidR="00BB0683" w:rsidRPr="00877810" w:rsidTr="00584E62">
        <w:trPr>
          <w:trHeight w:val="724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лікувальних закладів, в яких планується запровадити єдину електронну системи взаємозв’язку між КНП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</w:t>
            </w:r>
            <w:proofErr w:type="spellEnd"/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B0683" w:rsidRPr="00877810" w:rsidTr="00584E62">
        <w:trPr>
          <w:trHeight w:val="976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осіб, яких планується навчати за рахунок місцевого бюджету з подальшим працевлаштуванням </w:t>
            </w:r>
          </w:p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87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«ЦПМД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B0683" w:rsidRPr="00877810" w:rsidTr="00584E62">
        <w:trPr>
          <w:trHeight w:val="692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лікарів та молодших медичних спеціалістів, які планують підвищити кваліфікацію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</w:tr>
      <w:tr w:rsidR="00BB0683" w:rsidRPr="00877810" w:rsidTr="00584E62">
        <w:trPr>
          <w:trHeight w:val="845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хворих, які мають право на безоплатний та пільговий відпуск лікарських засобів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4550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6520</w:t>
            </w:r>
          </w:p>
        </w:tc>
      </w:tr>
      <w:tr w:rsidR="00BB0683" w:rsidRPr="00877810" w:rsidTr="00584E62">
        <w:trPr>
          <w:trHeight w:val="699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інвалідів , які потребують медико-соціального забезпечення 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</w:p>
        </w:tc>
      </w:tr>
      <w:tr w:rsidR="00BB0683" w:rsidRPr="00877810" w:rsidTr="00584E62">
        <w:trPr>
          <w:trHeight w:val="1268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хворих дорослих та дітей на цукровий діабет,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орфанні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захворювання, серцево-судинні захворювання та онкологічні захворювання, які потребують в забезпеченні  лікарськими засобами та медичними препаратами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1718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1806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3350</w:t>
            </w:r>
          </w:p>
        </w:tc>
      </w:tr>
      <w:tr w:rsidR="00BB0683" w:rsidRPr="00877810" w:rsidTr="00584E62">
        <w:trPr>
          <w:trHeight w:val="690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лабораторних та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скринінгових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досліджень, які планується провести  для раннього виявлення захворювань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64633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64650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63500</w:t>
            </w:r>
          </w:p>
        </w:tc>
      </w:tr>
      <w:tr w:rsidR="00BB0683" w:rsidRPr="00877810" w:rsidTr="00584E62">
        <w:trPr>
          <w:trHeight w:val="983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вагітних та новонароджених, які потребують препарати для лікування анемій, акушерських кровотеч та  невідкладної медичної допомоги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B0683" w:rsidRPr="00877810" w:rsidTr="00584E62">
        <w:trPr>
          <w:trHeight w:hRule="exact" w:val="720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осіб, яким планується провести вакцинацію та щеплення  проти вакцино керованих інфекцій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15850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16100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21000</w:t>
            </w:r>
          </w:p>
        </w:tc>
      </w:tr>
      <w:tr w:rsidR="00BB0683" w:rsidRPr="00877810" w:rsidTr="00584E62">
        <w:trPr>
          <w:trHeight w:hRule="exact" w:val="858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одиниць медичного обладнання , яке потрібно придбати відповідно до табелів оснащення КНП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</w:t>
            </w:r>
            <w:proofErr w:type="spellEnd"/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</w:tr>
      <w:tr w:rsidR="00BB0683" w:rsidRPr="00877810" w:rsidTr="00584E62">
        <w:trPr>
          <w:trHeight w:hRule="exact" w:val="983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будівель КНП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ІІ рівня надання медичної допомоги,  в яких потрібно здійснити реконструкцію та капітальні ремонти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BB0683" w:rsidRPr="00877810" w:rsidRDefault="000C1C7F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1C7F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</w:tr>
      <w:tr w:rsidR="00BB0683" w:rsidRPr="00877810" w:rsidTr="00584E62">
        <w:trPr>
          <w:trHeight w:hRule="exact" w:val="590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об’єктів  КНП «ЦПМД  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Бахмута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» в яких планується провести капітальні ремонти та модернізацію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B0683" w:rsidRPr="00877810" w:rsidTr="00584E62">
        <w:trPr>
          <w:trHeight w:hRule="exact" w:val="883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осіб, яких планується обстежити на ВІЛ-інфекцію (крім вагітних та донорів) та ВІЛ-асоційованих інфекцій (гепатит В, С)</w:t>
            </w:r>
          </w:p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4023</w:t>
            </w:r>
          </w:p>
        </w:tc>
      </w:tr>
      <w:tr w:rsidR="00BB0683" w:rsidRPr="00877810" w:rsidTr="00584E62">
        <w:trPr>
          <w:trHeight w:hRule="exact" w:val="450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осіб,</w:t>
            </w:r>
            <w:r w:rsidRPr="0087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які добровільно обстежені на TORСН- інфекцію</w:t>
            </w:r>
            <w:r w:rsidRPr="0087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B0683" w:rsidRPr="00877810" w:rsidTr="00584E62">
        <w:trPr>
          <w:trHeight w:hRule="exact" w:val="790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виготовленої (відкоригованої)  </w:t>
            </w:r>
            <w:proofErr w:type="spellStart"/>
            <w:r w:rsidR="000C1C7F"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проєктно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кошторисної документації 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од. 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</w:tcPr>
          <w:p w:rsidR="00BB0683" w:rsidRPr="00877810" w:rsidRDefault="000C1C7F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0683" w:rsidRPr="00877810" w:rsidTr="00682B82">
        <w:trPr>
          <w:trHeight w:hRule="exact" w:val="416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проектів нового будівництва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8750AF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B0683" w:rsidRPr="00877810" w:rsidTr="00584E62">
        <w:trPr>
          <w:trHeight w:hRule="exact" w:val="436"/>
        </w:trPr>
        <w:tc>
          <w:tcPr>
            <w:tcW w:w="67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6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сільських амбулаторій та фельдшерських пунктів </w:t>
            </w:r>
          </w:p>
        </w:tc>
        <w:tc>
          <w:tcPr>
            <w:tcW w:w="1423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84E62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B0683" w:rsidRPr="00877810" w:rsidTr="00584E62">
        <w:trPr>
          <w:trHeight w:hRule="exact" w:val="603"/>
        </w:trPr>
        <w:tc>
          <w:tcPr>
            <w:tcW w:w="67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696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виготовленої технічної документації</w:t>
            </w: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B0683" w:rsidRPr="00877810" w:rsidTr="00584E62">
        <w:trPr>
          <w:trHeight w:hRule="exact" w:val="603"/>
        </w:trPr>
        <w:tc>
          <w:tcPr>
            <w:tcW w:w="67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96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проведених поточних ремонтів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29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8750AF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5DD2" w:rsidRPr="00877810" w:rsidTr="00584E62">
        <w:trPr>
          <w:trHeight w:hRule="exact" w:val="603"/>
        </w:trPr>
        <w:tc>
          <w:tcPr>
            <w:tcW w:w="677" w:type="dxa"/>
            <w:gridSpan w:val="2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969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проведених медоглядів громадян призивного віку</w:t>
            </w:r>
          </w:p>
        </w:tc>
        <w:tc>
          <w:tcPr>
            <w:tcW w:w="1423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1155</w:t>
            </w:r>
          </w:p>
        </w:tc>
      </w:tr>
      <w:tr w:rsidR="00B55DD2" w:rsidRPr="00877810" w:rsidTr="00584E62">
        <w:trPr>
          <w:trHeight w:hRule="exact" w:val="603"/>
        </w:trPr>
        <w:tc>
          <w:tcPr>
            <w:tcW w:w="677" w:type="dxa"/>
            <w:gridSpan w:val="2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17193E"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69" w:type="dxa"/>
          </w:tcPr>
          <w:p w:rsidR="00B55DD2" w:rsidRPr="00877810" w:rsidRDefault="00B55DD2" w:rsidP="00B55DD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Кількість працівників медичних підприємств, які забезпечені засобами індивідуального захисту</w:t>
            </w:r>
          </w:p>
        </w:tc>
        <w:tc>
          <w:tcPr>
            <w:tcW w:w="1423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529" w:type="dxa"/>
            <w:gridSpan w:val="2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B55DD2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1250</w:t>
            </w:r>
          </w:p>
        </w:tc>
      </w:tr>
      <w:tr w:rsidR="00B55DD2" w:rsidRPr="00877810" w:rsidTr="00584E62">
        <w:trPr>
          <w:trHeight w:hRule="exact" w:val="603"/>
        </w:trPr>
        <w:tc>
          <w:tcPr>
            <w:tcW w:w="677" w:type="dxa"/>
            <w:gridSpan w:val="2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969" w:type="dxa"/>
          </w:tcPr>
          <w:p w:rsidR="00B55DD2" w:rsidRPr="00877810" w:rsidRDefault="0017193E" w:rsidP="0017193E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Кількість мобільних бригад для забору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біоматеріалу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від хворих, або з підозрою, на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коронавірусне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захворювання COVID-19</w:t>
            </w:r>
          </w:p>
        </w:tc>
        <w:tc>
          <w:tcPr>
            <w:tcW w:w="1423" w:type="dxa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1529" w:type="dxa"/>
            <w:gridSpan w:val="2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7" w:type="dxa"/>
            <w:gridSpan w:val="2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55DD2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B0683" w:rsidRPr="00877810" w:rsidTr="00584E62">
        <w:trPr>
          <w:trHeight w:hRule="exact" w:val="568"/>
        </w:trPr>
        <w:tc>
          <w:tcPr>
            <w:tcW w:w="15293" w:type="dxa"/>
            <w:gridSpan w:val="10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ІІІ. Показники ефективності</w:t>
            </w:r>
          </w:p>
        </w:tc>
      </w:tr>
      <w:tr w:rsidR="00BB0683" w:rsidRPr="00877810" w:rsidTr="00584E62">
        <w:trPr>
          <w:trHeight w:hRule="exact" w:val="844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Рівень підвищення ефективності роботи лікаря за рахунок автономізації робочих місць та створення електронної медичної картки пацієнта</w:t>
            </w: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B0683" w:rsidRPr="00877810" w:rsidTr="00584E62">
        <w:trPr>
          <w:trHeight w:hRule="exact" w:val="440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Підвищення рівня укомплектованості лікарями КНП 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</w:t>
            </w:r>
            <w:proofErr w:type="spellEnd"/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B0683" w:rsidRPr="00877810" w:rsidTr="00584E62">
        <w:trPr>
          <w:trHeight w:hRule="exact" w:val="560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Середня кількість відвідування на 1 лікаря загальної практики – сімейної медицини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5774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5774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4800</w:t>
            </w:r>
          </w:p>
        </w:tc>
      </w:tr>
      <w:tr w:rsidR="00BB0683" w:rsidRPr="00877810" w:rsidTr="00584E62">
        <w:trPr>
          <w:trHeight w:hRule="exact" w:val="589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Середня тривалість лікування у денному стаціонарі одного хворого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днів 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B0683" w:rsidRPr="00877810" w:rsidTr="00584E62">
        <w:trPr>
          <w:trHeight w:hRule="exact" w:val="394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Завантаженість ліжкового фонду  у звичайному стаціонарі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днів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</w:tr>
      <w:tr w:rsidR="00BB0683" w:rsidRPr="00877810" w:rsidTr="000C1C7F">
        <w:trPr>
          <w:trHeight w:hRule="exact" w:val="383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Середня тривалість лікування в стаціонарі одного хворого</w:t>
            </w: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днів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B0683" w:rsidRPr="00877810" w:rsidTr="00584E62">
        <w:trPr>
          <w:trHeight w:hRule="exact" w:val="849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Підвищення показника рівня обстеження загального населення на ВІЛ-інфекцію (крім вагітних та донорів) та ВІЛ-асоційованих інфекцій (гепатит В, С)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0683" w:rsidRPr="00877810" w:rsidTr="00584E62">
        <w:trPr>
          <w:trHeight w:hRule="exact" w:val="819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Зниження показника захворюваності </w:t>
            </w:r>
            <w:r w:rsidRPr="008778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дітей до 1-го року,  народжених з вродженими вадами</w:t>
            </w:r>
            <w:r w:rsidRPr="008778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розвитку за рахунок  добровільного обстеження на TORСН- інфекцію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7193E" w:rsidRPr="00877810" w:rsidTr="00584E62">
        <w:trPr>
          <w:trHeight w:hRule="exact" w:val="819"/>
        </w:trPr>
        <w:tc>
          <w:tcPr>
            <w:tcW w:w="65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87" w:type="dxa"/>
            <w:gridSpan w:val="2"/>
          </w:tcPr>
          <w:p w:rsidR="0017193E" w:rsidRPr="00877810" w:rsidRDefault="00682B82" w:rsidP="00682B82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Підвищення рівня з</w:t>
            </w:r>
            <w:r w:rsidR="0017193E"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абезпеченість медичних підприємств лікарськими засобами для лікування хворих  на </w:t>
            </w:r>
            <w:proofErr w:type="spellStart"/>
            <w:r w:rsidR="0017193E"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коронавірусне</w:t>
            </w:r>
            <w:proofErr w:type="spellEnd"/>
            <w:r w:rsidR="0017193E"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захворювання COVID-19</w:t>
            </w:r>
          </w:p>
        </w:tc>
        <w:tc>
          <w:tcPr>
            <w:tcW w:w="1423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  <w:gridSpan w:val="3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7193E" w:rsidRPr="00877810" w:rsidTr="00682B82">
        <w:trPr>
          <w:trHeight w:hRule="exact" w:val="634"/>
        </w:trPr>
        <w:tc>
          <w:tcPr>
            <w:tcW w:w="65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6987" w:type="dxa"/>
            <w:gridSpan w:val="2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Підвищення рівня захисту працівників медичних підприємств при лікуванні інфекційних захворювань</w:t>
            </w:r>
          </w:p>
        </w:tc>
        <w:tc>
          <w:tcPr>
            <w:tcW w:w="1423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  <w:gridSpan w:val="3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49" w:type="dxa"/>
          </w:tcPr>
          <w:p w:rsidR="0017193E" w:rsidRPr="00877810" w:rsidRDefault="0017193E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0683" w:rsidRPr="00877810" w:rsidTr="00584E62">
        <w:trPr>
          <w:trHeight w:hRule="exact" w:val="455"/>
        </w:trPr>
        <w:tc>
          <w:tcPr>
            <w:tcW w:w="15293" w:type="dxa"/>
            <w:gridSpan w:val="10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IV. Показники якості</w:t>
            </w:r>
          </w:p>
        </w:tc>
      </w:tr>
      <w:tr w:rsidR="00BB0683" w:rsidRPr="00877810" w:rsidTr="00584E62">
        <w:trPr>
          <w:trHeight w:hRule="exact" w:val="337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Рівень виявлення захворювань на ранніх стадіях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BB0683" w:rsidRPr="00877810" w:rsidTr="00584E62">
        <w:trPr>
          <w:trHeight w:hRule="exact" w:val="580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Зниження рівня захворюваності порівняно з попереднім роком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B0683" w:rsidRPr="00877810" w:rsidTr="00584E62">
        <w:trPr>
          <w:trHeight w:hRule="exact" w:val="454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Зниження показника летальності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BB0683" w:rsidRPr="00877810" w:rsidTr="00584E62">
        <w:trPr>
          <w:trHeight w:hRule="exact" w:val="548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Зниження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малюкової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смертності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випадки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B0683" w:rsidRPr="00877810" w:rsidTr="00584E62">
        <w:trPr>
          <w:trHeight w:hRule="exact" w:val="428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повноти охоплення профілактичними щепленнями</w:t>
            </w: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BB0683" w:rsidRPr="00877810" w:rsidTr="00584E62">
        <w:trPr>
          <w:trHeight w:hRule="exact" w:val="413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Зростання показника народжуваності</w:t>
            </w: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випадки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BB0683" w:rsidRPr="00877810" w:rsidTr="00584E62">
        <w:trPr>
          <w:trHeight w:hRule="exact" w:val="598"/>
        </w:trPr>
        <w:tc>
          <w:tcPr>
            <w:tcW w:w="65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87" w:type="dxa"/>
            <w:gridSpan w:val="2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Результативність (або відсоток позитивних результатів) тестування осіб з групи підвищеного ризику  на ВІЛ-інфекцію</w:t>
            </w: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49" w:type="dxa"/>
            <w:gridSpan w:val="3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49" w:type="dxa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BB0683" w:rsidRPr="00877810" w:rsidTr="00584E62">
        <w:trPr>
          <w:trHeight w:hRule="exact" w:val="70"/>
        </w:trPr>
        <w:tc>
          <w:tcPr>
            <w:tcW w:w="15293" w:type="dxa"/>
            <w:gridSpan w:val="10"/>
          </w:tcPr>
          <w:p w:rsidR="00BB0683" w:rsidRPr="00877810" w:rsidRDefault="00BB0683" w:rsidP="005507E6">
            <w:pPr>
              <w:shd w:val="clear" w:color="auto" w:fill="FFFFFF"/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4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77810">
        <w:rPr>
          <w:rFonts w:ascii="Times New Roman" w:hAnsi="Times New Roman"/>
          <w:i/>
          <w:sz w:val="28"/>
          <w:szCs w:val="24"/>
          <w:lang w:eastAsia="ru-RU"/>
        </w:rPr>
        <w:t>Додаток 2 «Показники результативності Комплексної програми</w:t>
      </w:r>
      <w:r w:rsidRPr="00877810">
        <w:rPr>
          <w:rFonts w:ascii="Times New Roman" w:hAnsi="Times New Roman"/>
          <w:i/>
          <w:spacing w:val="-1"/>
          <w:sz w:val="28"/>
          <w:szCs w:val="24"/>
          <w:lang w:eastAsia="ru-RU"/>
        </w:rPr>
        <w:t xml:space="preserve">» </w:t>
      </w:r>
      <w:r w:rsidRPr="00877810">
        <w:rPr>
          <w:rFonts w:ascii="Times New Roman" w:hAnsi="Times New Roman"/>
          <w:i/>
          <w:spacing w:val="-1"/>
          <w:sz w:val="28"/>
          <w:szCs w:val="28"/>
          <w:lang w:eastAsia="ru-RU"/>
        </w:rPr>
        <w:t>до Комплексної програми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«Охорона здоров’я населення на 2018 – 2020 роки», затвердженої рішенням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 від 31.01.2018 № 6/109 – 2075</w:t>
      </w:r>
      <w:r w:rsidR="00AF3BBB" w:rsidRPr="00877810">
        <w:rPr>
          <w:rFonts w:ascii="Times New Roman" w:hAnsi="Times New Roman"/>
          <w:i/>
          <w:sz w:val="28"/>
          <w:szCs w:val="28"/>
          <w:lang w:eastAsia="ru-RU"/>
        </w:rPr>
        <w:t>, із змінами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підготовлено Управлінням охорони здоров’я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ради.</w:t>
      </w: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090" w:type="dxa"/>
        <w:tblInd w:w="-86" w:type="dxa"/>
        <w:tblLook w:val="0000"/>
      </w:tblPr>
      <w:tblGrid>
        <w:gridCol w:w="8030"/>
        <w:gridCol w:w="1860"/>
        <w:gridCol w:w="5200"/>
      </w:tblGrid>
      <w:tr w:rsidR="00BB0683" w:rsidRPr="00877810" w:rsidTr="0042057E">
        <w:trPr>
          <w:trHeight w:val="708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Управління охорони </w:t>
            </w: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здоров’я 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  <w:vAlign w:val="center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О. О. Миронова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683" w:rsidRPr="00877810" w:rsidTr="0042057E">
        <w:trPr>
          <w:trHeight w:val="533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ind w:left="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ind w:left="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І.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Кіщенко</w:t>
            </w:r>
            <w:proofErr w:type="spellEnd"/>
          </w:p>
        </w:tc>
      </w:tr>
    </w:tbl>
    <w:p w:rsidR="00BB0683" w:rsidRPr="00877810" w:rsidRDefault="00BB0683" w:rsidP="00B17F6B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  <w:r w:rsidRPr="00877810"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  <w:r w:rsidRPr="0087781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</w:p>
    <w:p w:rsidR="0034729B" w:rsidRDefault="00BB0683" w:rsidP="00682B82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  <w:r w:rsidRPr="00877810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</w:t>
      </w:r>
      <w:r w:rsidR="0034729B">
        <w:rPr>
          <w:rFonts w:ascii="Times New Roman" w:hAnsi="Times New Roman"/>
          <w:sz w:val="24"/>
          <w:szCs w:val="24"/>
          <w:lang w:eastAsia="ru-RU"/>
        </w:rPr>
        <w:t xml:space="preserve">     </w:t>
      </w:r>
    </w:p>
    <w:p w:rsidR="001A2DB2" w:rsidRDefault="0034729B" w:rsidP="00682B82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</w:p>
    <w:p w:rsidR="001A2DB2" w:rsidRDefault="001A2DB2" w:rsidP="00682B82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</w:p>
    <w:p w:rsidR="00BB0683" w:rsidRPr="00877810" w:rsidRDefault="00BB0683" w:rsidP="001A2DB2">
      <w:pPr>
        <w:shd w:val="clear" w:color="auto" w:fill="FFFFFF"/>
        <w:spacing w:after="0" w:line="240" w:lineRule="auto"/>
        <w:ind w:left="7787" w:firstLine="284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Додаток 3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0620" w:firstLine="4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до Комплексної програми «Охорона здоров’я населення на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2018-2020 роки», затвердженої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рішенням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1416" w:firstLine="9208"/>
        <w:rPr>
          <w:rFonts w:ascii="Times New Roman" w:hAnsi="Times New Roman"/>
          <w:bCs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31.01.2018 №6/109 – 2075, із змінами </w:t>
      </w:r>
    </w:p>
    <w:p w:rsidR="00BB0683" w:rsidRPr="00877810" w:rsidRDefault="00BB0683" w:rsidP="00474266">
      <w:pPr>
        <w:shd w:val="clear" w:color="auto" w:fill="FFFFFF"/>
        <w:spacing w:after="0" w:line="240" w:lineRule="auto"/>
        <w:ind w:left="10632"/>
        <w:rPr>
          <w:rFonts w:ascii="Times New Roman" w:hAnsi="Times New Roman"/>
          <w:sz w:val="24"/>
          <w:szCs w:val="24"/>
          <w:lang w:eastAsia="ru-RU"/>
        </w:rPr>
      </w:pPr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(Додаток 3 у редакції рішення </w:t>
      </w:r>
      <w:proofErr w:type="spellStart"/>
      <w:r w:rsidRPr="00877810">
        <w:rPr>
          <w:rFonts w:ascii="Times New Roman" w:hAnsi="Times New Roman"/>
          <w:bCs/>
          <w:sz w:val="24"/>
          <w:szCs w:val="24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bCs/>
          <w:sz w:val="24"/>
          <w:szCs w:val="24"/>
          <w:lang w:eastAsia="ru-RU"/>
        </w:rPr>
        <w:t xml:space="preserve"> міської ради </w:t>
      </w:r>
      <w:r w:rsidR="001A2DB2" w:rsidRPr="001A2DB2">
        <w:rPr>
          <w:rFonts w:ascii="Times New Roman" w:hAnsi="Times New Roman"/>
          <w:sz w:val="24"/>
          <w:szCs w:val="24"/>
        </w:rPr>
        <w:t>21.04.2020 № 6/141-2965</w:t>
      </w:r>
      <w:r w:rsidRPr="00877810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BB0683" w:rsidRPr="00877810" w:rsidRDefault="00BB0683" w:rsidP="00B17F6B">
      <w:pPr>
        <w:shd w:val="clear" w:color="auto" w:fill="FFFFFF"/>
        <w:spacing w:after="0" w:line="240" w:lineRule="auto"/>
        <w:ind w:left="7787" w:firstLine="1"/>
        <w:rPr>
          <w:rFonts w:ascii="Times New Roman" w:hAnsi="Times New Roman"/>
          <w:sz w:val="24"/>
          <w:szCs w:val="24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77810">
        <w:rPr>
          <w:rFonts w:ascii="Times New Roman" w:hAnsi="Times New Roman"/>
          <w:b/>
          <w:sz w:val="24"/>
          <w:szCs w:val="24"/>
          <w:lang w:eastAsia="ru-RU"/>
        </w:rPr>
        <w:t>РЕСУРCНЕ ЗАБЕЗПЕЧЕННЯ  КОМПЛЕКСНОЇ ПРОГРАМИ</w:t>
      </w: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2552"/>
        <w:gridCol w:w="3260"/>
        <w:gridCol w:w="3402"/>
        <w:gridCol w:w="3119"/>
      </w:tblGrid>
      <w:tr w:rsidR="00BB0683" w:rsidRPr="00877810" w:rsidTr="00E76A16">
        <w:trPr>
          <w:trHeight w:val="637"/>
        </w:trPr>
        <w:tc>
          <w:tcPr>
            <w:tcW w:w="2943" w:type="dxa"/>
            <w:vMerge w:val="restart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Обсяг коштів, що пропонується залучити на виконання програми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3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3119" w:type="dxa"/>
            <w:vMerge w:val="restart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Всього витрат на виконання програми </w:t>
            </w:r>
          </w:p>
        </w:tc>
      </w:tr>
      <w:tr w:rsidR="00BB0683" w:rsidRPr="00877810" w:rsidTr="00E76A16">
        <w:trPr>
          <w:trHeight w:val="449"/>
        </w:trPr>
        <w:tc>
          <w:tcPr>
            <w:tcW w:w="2943" w:type="dxa"/>
            <w:vMerge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I етап</w:t>
            </w:r>
          </w:p>
        </w:tc>
        <w:tc>
          <w:tcPr>
            <w:tcW w:w="32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II етап</w:t>
            </w:r>
          </w:p>
        </w:tc>
        <w:tc>
          <w:tcPr>
            <w:tcW w:w="340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III етап</w:t>
            </w:r>
          </w:p>
        </w:tc>
        <w:tc>
          <w:tcPr>
            <w:tcW w:w="3119" w:type="dxa"/>
            <w:vMerge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683" w:rsidRPr="00877810" w:rsidTr="00E76A16">
        <w:trPr>
          <w:trHeight w:val="534"/>
        </w:trPr>
        <w:tc>
          <w:tcPr>
            <w:tcW w:w="2943" w:type="dxa"/>
            <w:vMerge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2018  рік</w:t>
            </w:r>
          </w:p>
        </w:tc>
        <w:tc>
          <w:tcPr>
            <w:tcW w:w="32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2019 рік</w:t>
            </w:r>
          </w:p>
        </w:tc>
        <w:tc>
          <w:tcPr>
            <w:tcW w:w="340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2020 рік</w:t>
            </w:r>
          </w:p>
        </w:tc>
        <w:tc>
          <w:tcPr>
            <w:tcW w:w="3119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0683" w:rsidRPr="00877810" w:rsidTr="00E76A16">
        <w:trPr>
          <w:trHeight w:val="530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0683" w:rsidRPr="00877810" w:rsidTr="0047592E">
        <w:trPr>
          <w:trHeight w:val="584"/>
        </w:trPr>
        <w:tc>
          <w:tcPr>
            <w:tcW w:w="2943" w:type="dxa"/>
          </w:tcPr>
          <w:p w:rsidR="00BB0683" w:rsidRPr="00877810" w:rsidRDefault="00BB0683" w:rsidP="004759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Обсяг ресурсів, всього, у тому числі:</w:t>
            </w:r>
          </w:p>
        </w:tc>
        <w:tc>
          <w:tcPr>
            <w:tcW w:w="255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38 912,9</w:t>
            </w:r>
          </w:p>
        </w:tc>
        <w:tc>
          <w:tcPr>
            <w:tcW w:w="3260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108 888,4</w:t>
            </w:r>
          </w:p>
        </w:tc>
        <w:tc>
          <w:tcPr>
            <w:tcW w:w="3402" w:type="dxa"/>
          </w:tcPr>
          <w:p w:rsidR="00BB0683" w:rsidRPr="00F91D12" w:rsidRDefault="000C1C7F" w:rsidP="004759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141 918,9</w:t>
            </w:r>
          </w:p>
        </w:tc>
        <w:tc>
          <w:tcPr>
            <w:tcW w:w="3119" w:type="dxa"/>
          </w:tcPr>
          <w:p w:rsidR="00BB0683" w:rsidRPr="00F91D12" w:rsidRDefault="00682B82" w:rsidP="000C1C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  <w:r w:rsidR="000C1C7F"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0C1C7F"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20,2</w:t>
            </w:r>
          </w:p>
        </w:tc>
      </w:tr>
      <w:tr w:rsidR="00BB0683" w:rsidRPr="00877810" w:rsidTr="00E76A16">
        <w:trPr>
          <w:trHeight w:val="742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 державний бюджет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</w:rPr>
              <w:t>12 745,4</w:t>
            </w:r>
          </w:p>
        </w:tc>
        <w:tc>
          <w:tcPr>
            <w:tcW w:w="3260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65 199,0</w:t>
            </w:r>
          </w:p>
        </w:tc>
        <w:tc>
          <w:tcPr>
            <w:tcW w:w="340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53 568,3</w:t>
            </w:r>
          </w:p>
        </w:tc>
        <w:tc>
          <w:tcPr>
            <w:tcW w:w="3119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131 512,7</w:t>
            </w:r>
          </w:p>
        </w:tc>
      </w:tr>
      <w:tr w:rsidR="00BB0683" w:rsidRPr="00877810" w:rsidTr="00E76A16">
        <w:trPr>
          <w:trHeight w:val="332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національна служба здоров`я України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333,6</w:t>
            </w:r>
          </w:p>
        </w:tc>
        <w:tc>
          <w:tcPr>
            <w:tcW w:w="340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3119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474,2</w:t>
            </w:r>
          </w:p>
        </w:tc>
      </w:tr>
      <w:tr w:rsidR="00BB0683" w:rsidRPr="00877810" w:rsidTr="00E76A16">
        <w:trPr>
          <w:trHeight w:val="662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 обласний бюджет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660,6</w:t>
            </w:r>
          </w:p>
        </w:tc>
        <w:tc>
          <w:tcPr>
            <w:tcW w:w="3260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16 000,0</w:t>
            </w:r>
          </w:p>
        </w:tc>
        <w:tc>
          <w:tcPr>
            <w:tcW w:w="3402" w:type="dxa"/>
          </w:tcPr>
          <w:p w:rsidR="00BB0683" w:rsidRPr="00F91D12" w:rsidRDefault="000C1C7F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47592E"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3119" w:type="dxa"/>
          </w:tcPr>
          <w:p w:rsidR="00BB0683" w:rsidRPr="00F91D12" w:rsidRDefault="0047592E" w:rsidP="000C1C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C1C7F"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B0683"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660,6</w:t>
            </w:r>
          </w:p>
        </w:tc>
      </w:tr>
      <w:tr w:rsidR="00BB0683" w:rsidRPr="00877810" w:rsidTr="00E76A16">
        <w:trPr>
          <w:trHeight w:val="705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міський бюджет </w:t>
            </w: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м.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Бахмута</w:t>
            </w:r>
            <w:proofErr w:type="spellEnd"/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</w:rPr>
              <w:t>13 400,8</w:t>
            </w:r>
          </w:p>
        </w:tc>
        <w:tc>
          <w:tcPr>
            <w:tcW w:w="3260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23 447,1</w:t>
            </w:r>
          </w:p>
        </w:tc>
        <w:tc>
          <w:tcPr>
            <w:tcW w:w="3402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</w:tcPr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36 847,9</w:t>
            </w:r>
          </w:p>
        </w:tc>
      </w:tr>
      <w:tr w:rsidR="00BB0683" w:rsidRPr="00877810" w:rsidTr="00E76A16">
        <w:trPr>
          <w:trHeight w:val="525"/>
        </w:trPr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бюджет </w:t>
            </w:r>
            <w:proofErr w:type="spellStart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міської ОТГ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810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</w:tcPr>
          <w:p w:rsidR="00BB0683" w:rsidRPr="00F91D12" w:rsidRDefault="00682B82" w:rsidP="000C1C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25 </w:t>
            </w:r>
            <w:r w:rsidR="000C1C7F"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F91D12"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3119" w:type="dxa"/>
          </w:tcPr>
          <w:p w:rsidR="00BB0683" w:rsidRPr="00F91D12" w:rsidRDefault="00682B82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25 </w:t>
            </w:r>
            <w:r w:rsidR="000C1C7F"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F91D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34,4</w:t>
            </w:r>
          </w:p>
          <w:p w:rsidR="00BB0683" w:rsidRPr="00F91D12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B0683" w:rsidRPr="00877810" w:rsidTr="00E76A16">
        <w:tc>
          <w:tcPr>
            <w:tcW w:w="2943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кошти інших джерел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</w:rPr>
              <w:t>12 106,1</w:t>
            </w:r>
          </w:p>
        </w:tc>
        <w:tc>
          <w:tcPr>
            <w:tcW w:w="32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3 908,7</w:t>
            </w:r>
          </w:p>
        </w:tc>
        <w:tc>
          <w:tcPr>
            <w:tcW w:w="3402" w:type="dxa"/>
          </w:tcPr>
          <w:p w:rsidR="00BB0683" w:rsidRPr="00877810" w:rsidRDefault="00682B82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sz w:val="24"/>
                <w:szCs w:val="24"/>
                <w:lang w:eastAsia="ru-RU"/>
              </w:rPr>
              <w:t>51 475,6</w:t>
            </w:r>
          </w:p>
        </w:tc>
        <w:tc>
          <w:tcPr>
            <w:tcW w:w="3119" w:type="dxa"/>
          </w:tcPr>
          <w:p w:rsidR="00BB0683" w:rsidRPr="00877810" w:rsidRDefault="00682B82" w:rsidP="00B17F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778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67 490,4</w:t>
            </w:r>
          </w:p>
        </w:tc>
      </w:tr>
    </w:tbl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</w:r>
      <w:r w:rsidRPr="00877810">
        <w:rPr>
          <w:rFonts w:ascii="Times New Roman" w:hAnsi="Times New Roman"/>
          <w:sz w:val="24"/>
          <w:szCs w:val="24"/>
          <w:lang w:eastAsia="ru-RU"/>
        </w:rPr>
        <w:tab/>
        <w:t xml:space="preserve">       </w:t>
      </w: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77810">
        <w:rPr>
          <w:rFonts w:ascii="Times New Roman" w:hAnsi="Times New Roman"/>
          <w:i/>
          <w:sz w:val="28"/>
          <w:szCs w:val="24"/>
          <w:lang w:eastAsia="ru-RU"/>
        </w:rPr>
        <w:t>Додаток 3 «Ресурсне забезпечення Комплексної програми</w:t>
      </w:r>
      <w:r w:rsidRPr="00877810">
        <w:rPr>
          <w:rFonts w:ascii="Times New Roman" w:hAnsi="Times New Roman"/>
          <w:i/>
          <w:spacing w:val="-1"/>
          <w:sz w:val="28"/>
          <w:szCs w:val="24"/>
          <w:lang w:eastAsia="ru-RU"/>
        </w:rPr>
        <w:t xml:space="preserve">» </w:t>
      </w:r>
      <w:r w:rsidRPr="00877810">
        <w:rPr>
          <w:rFonts w:ascii="Times New Roman" w:hAnsi="Times New Roman"/>
          <w:i/>
          <w:spacing w:val="-1"/>
          <w:sz w:val="28"/>
          <w:szCs w:val="28"/>
          <w:lang w:eastAsia="ru-RU"/>
        </w:rPr>
        <w:t>до Комплексної програми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«Охорона здоров’я населення на 2018 – 2020 роки», затвердженої рішенням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 від 31.01.2018 № 6/109 – 2075</w:t>
      </w:r>
      <w:r w:rsidR="007F28AD" w:rsidRPr="00877810">
        <w:rPr>
          <w:rFonts w:ascii="Times New Roman" w:hAnsi="Times New Roman"/>
          <w:i/>
          <w:sz w:val="28"/>
          <w:szCs w:val="28"/>
          <w:lang w:eastAsia="ru-RU"/>
        </w:rPr>
        <w:t>, із змінами</w:t>
      </w:r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підготовлено Управлінням охорони здоров’я </w:t>
      </w:r>
      <w:proofErr w:type="spellStart"/>
      <w:r w:rsidRPr="00877810">
        <w:rPr>
          <w:rFonts w:ascii="Times New Roman" w:hAnsi="Times New Roman"/>
          <w:i/>
          <w:sz w:val="28"/>
          <w:szCs w:val="28"/>
          <w:lang w:eastAsia="ru-RU"/>
        </w:rPr>
        <w:t>Бахмутської</w:t>
      </w:r>
      <w:proofErr w:type="spellEnd"/>
      <w:r w:rsidRPr="00877810">
        <w:rPr>
          <w:rFonts w:ascii="Times New Roman" w:hAnsi="Times New Roman"/>
          <w:i/>
          <w:sz w:val="28"/>
          <w:szCs w:val="28"/>
          <w:lang w:eastAsia="ru-RU"/>
        </w:rPr>
        <w:t xml:space="preserve"> міської ради.</w:t>
      </w: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18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090" w:type="dxa"/>
        <w:tblInd w:w="-86" w:type="dxa"/>
        <w:tblLook w:val="0000"/>
      </w:tblPr>
      <w:tblGrid>
        <w:gridCol w:w="8030"/>
        <w:gridCol w:w="1860"/>
        <w:gridCol w:w="5200"/>
      </w:tblGrid>
      <w:tr w:rsidR="00BB0683" w:rsidRPr="00877810" w:rsidTr="0042057E">
        <w:trPr>
          <w:trHeight w:val="708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Управління охорони </w:t>
            </w: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здоров’я 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0683" w:rsidRPr="00877810" w:rsidRDefault="00BB0683" w:rsidP="00B17F6B">
            <w:pPr>
              <w:shd w:val="clear" w:color="auto" w:fill="FFFFFF"/>
              <w:spacing w:after="0" w:line="218" w:lineRule="auto"/>
              <w:ind w:left="19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  <w:vAlign w:val="center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О. О. Миронова</w:t>
            </w:r>
          </w:p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0683" w:rsidRPr="00877810" w:rsidTr="0042057E">
        <w:trPr>
          <w:trHeight w:val="533"/>
        </w:trPr>
        <w:tc>
          <w:tcPr>
            <w:tcW w:w="803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ind w:left="19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Бахмутської</w:t>
            </w:r>
            <w:proofErr w:type="spellEnd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86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0" w:type="dxa"/>
          </w:tcPr>
          <w:p w:rsidR="00BB0683" w:rsidRPr="00877810" w:rsidRDefault="00BB0683" w:rsidP="00B17F6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І. </w:t>
            </w:r>
            <w:proofErr w:type="spellStart"/>
            <w:r w:rsidRPr="00877810">
              <w:rPr>
                <w:rFonts w:ascii="Times New Roman" w:hAnsi="Times New Roman"/>
                <w:sz w:val="28"/>
                <w:szCs w:val="28"/>
                <w:lang w:eastAsia="ru-RU"/>
              </w:rPr>
              <w:t>Кіщенко</w:t>
            </w:r>
            <w:proofErr w:type="spellEnd"/>
          </w:p>
        </w:tc>
      </w:tr>
    </w:tbl>
    <w:p w:rsidR="00BB0683" w:rsidRPr="00877810" w:rsidRDefault="00BB0683" w:rsidP="00B17F6B">
      <w:pPr>
        <w:shd w:val="clear" w:color="auto" w:fill="FFFFFF"/>
        <w:spacing w:after="0" w:line="240" w:lineRule="auto"/>
        <w:ind w:left="1270"/>
        <w:contextualSpacing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B0683" w:rsidRPr="00877810" w:rsidRDefault="00BB0683" w:rsidP="00B17F6B">
      <w:pPr>
        <w:shd w:val="clear" w:color="auto" w:fill="FFFFFF"/>
      </w:pPr>
    </w:p>
    <w:sectPr w:rsidR="00BB0683" w:rsidRPr="00877810" w:rsidSect="00682B82">
      <w:pgSz w:w="16838" w:h="11906" w:orient="landscape"/>
      <w:pgMar w:top="1560" w:right="851" w:bottom="709" w:left="85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37" w:rsidRDefault="00597037">
      <w:pPr>
        <w:spacing w:after="0" w:line="240" w:lineRule="auto"/>
      </w:pPr>
      <w:r>
        <w:separator/>
      </w:r>
    </w:p>
  </w:endnote>
  <w:endnote w:type="continuationSeparator" w:id="0">
    <w:p w:rsidR="00597037" w:rsidRDefault="00597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37" w:rsidRDefault="00597037">
      <w:pPr>
        <w:spacing w:after="0" w:line="240" w:lineRule="auto"/>
      </w:pPr>
      <w:r>
        <w:separator/>
      </w:r>
    </w:p>
  </w:footnote>
  <w:footnote w:type="continuationSeparator" w:id="0">
    <w:p w:rsidR="00597037" w:rsidRDefault="00597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900" w:rsidRPr="007F28AD" w:rsidRDefault="00AC630A">
    <w:pPr>
      <w:pStyle w:val="a8"/>
      <w:jc w:val="center"/>
      <w:rPr>
        <w:lang w:val="uk-UA"/>
      </w:rPr>
    </w:pPr>
    <w:r>
      <w:fldChar w:fldCharType="begin"/>
    </w:r>
    <w:r w:rsidR="00D45900">
      <w:instrText>PAGE   \* MERGEFORMAT</w:instrText>
    </w:r>
    <w:r>
      <w:fldChar w:fldCharType="separate"/>
    </w:r>
    <w:r w:rsidR="00003474">
      <w:rPr>
        <w:noProof/>
      </w:rPr>
      <w:t>3</w:t>
    </w:r>
    <w:r>
      <w:rPr>
        <w:noProof/>
      </w:rPr>
      <w:fldChar w:fldCharType="end"/>
    </w:r>
  </w:p>
  <w:p w:rsidR="00D45900" w:rsidRDefault="00D4590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66FA"/>
    <w:multiLevelType w:val="hybridMultilevel"/>
    <w:tmpl w:val="378A02BA"/>
    <w:lvl w:ilvl="0" w:tplc="F4982BA8">
      <w:start w:val="1"/>
      <w:numFmt w:val="decimal"/>
      <w:lvlText w:val="%1."/>
      <w:lvlJc w:val="left"/>
      <w:pPr>
        <w:ind w:left="12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30" w:hanging="180"/>
      </w:pPr>
      <w:rPr>
        <w:rFonts w:cs="Times New Roman"/>
      </w:rPr>
    </w:lvl>
  </w:abstractNum>
  <w:abstractNum w:abstractNumId="1">
    <w:nsid w:val="230A6ACC"/>
    <w:multiLevelType w:val="hybridMultilevel"/>
    <w:tmpl w:val="F74A91E4"/>
    <w:lvl w:ilvl="0" w:tplc="D70469F2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  <w:rPr>
        <w:rFonts w:cs="Times New Roman"/>
      </w:rPr>
    </w:lvl>
  </w:abstractNum>
  <w:abstractNum w:abstractNumId="2">
    <w:nsid w:val="2B395FD5"/>
    <w:multiLevelType w:val="hybridMultilevel"/>
    <w:tmpl w:val="B12671F6"/>
    <w:lvl w:ilvl="0" w:tplc="635406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A5A5CD1"/>
    <w:multiLevelType w:val="hybridMultilevel"/>
    <w:tmpl w:val="9B76921E"/>
    <w:lvl w:ilvl="0" w:tplc="40068CDE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541513"/>
    <w:multiLevelType w:val="hybridMultilevel"/>
    <w:tmpl w:val="9CD2C7D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77347"/>
    <w:multiLevelType w:val="hybridMultilevel"/>
    <w:tmpl w:val="412EFF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A876A9"/>
    <w:multiLevelType w:val="hybridMultilevel"/>
    <w:tmpl w:val="9F9A4084"/>
    <w:lvl w:ilvl="0" w:tplc="A2260F76">
      <w:start w:val="10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784CFC"/>
    <w:multiLevelType w:val="hybridMultilevel"/>
    <w:tmpl w:val="0A2A6E2A"/>
    <w:lvl w:ilvl="0" w:tplc="FB0A503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1539D1"/>
    <w:multiLevelType w:val="multilevel"/>
    <w:tmpl w:val="A2062CB0"/>
    <w:lvl w:ilvl="0">
      <w:start w:val="1"/>
      <w:numFmt w:val="decimal"/>
      <w:lvlText w:val="%1."/>
      <w:lvlJc w:val="left"/>
      <w:pPr>
        <w:ind w:left="490" w:hanging="4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45012CD"/>
    <w:multiLevelType w:val="hybridMultilevel"/>
    <w:tmpl w:val="485A07B8"/>
    <w:lvl w:ilvl="0" w:tplc="F2901094">
      <w:start w:val="2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C0A31"/>
    <w:multiLevelType w:val="hybridMultilevel"/>
    <w:tmpl w:val="19460AC6"/>
    <w:lvl w:ilvl="0" w:tplc="3EE09922"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93585C"/>
    <w:multiLevelType w:val="hybridMultilevel"/>
    <w:tmpl w:val="B484D10E"/>
    <w:lvl w:ilvl="0" w:tplc="58D2E506">
      <w:start w:val="13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973367"/>
    <w:multiLevelType w:val="multilevel"/>
    <w:tmpl w:val="698225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12"/>
  </w:num>
  <w:num w:numId="6">
    <w:abstractNumId w:val="3"/>
  </w:num>
  <w:num w:numId="7">
    <w:abstractNumId w:val="4"/>
  </w:num>
  <w:num w:numId="8">
    <w:abstractNumId w:val="10"/>
  </w:num>
  <w:num w:numId="9">
    <w:abstractNumId w:val="11"/>
  </w:num>
  <w:num w:numId="10">
    <w:abstractNumId w:val="6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B2B37"/>
    <w:rsid w:val="00003474"/>
    <w:rsid w:val="00004BFE"/>
    <w:rsid w:val="000202E9"/>
    <w:rsid w:val="00087AB1"/>
    <w:rsid w:val="000C1C7F"/>
    <w:rsid w:val="000E225B"/>
    <w:rsid w:val="00106AB1"/>
    <w:rsid w:val="0012257F"/>
    <w:rsid w:val="0012505A"/>
    <w:rsid w:val="0017193E"/>
    <w:rsid w:val="00196BF2"/>
    <w:rsid w:val="001A2DB2"/>
    <w:rsid w:val="001E4F3A"/>
    <w:rsid w:val="001F47F2"/>
    <w:rsid w:val="0022138D"/>
    <w:rsid w:val="0022744C"/>
    <w:rsid w:val="0024504A"/>
    <w:rsid w:val="00251CF7"/>
    <w:rsid w:val="002603B1"/>
    <w:rsid w:val="00286678"/>
    <w:rsid w:val="00291FC1"/>
    <w:rsid w:val="002A2597"/>
    <w:rsid w:val="002A550C"/>
    <w:rsid w:val="002A7799"/>
    <w:rsid w:val="002C0302"/>
    <w:rsid w:val="002C7DEE"/>
    <w:rsid w:val="003034A2"/>
    <w:rsid w:val="003123E2"/>
    <w:rsid w:val="00335B73"/>
    <w:rsid w:val="0033679C"/>
    <w:rsid w:val="0034729B"/>
    <w:rsid w:val="00352344"/>
    <w:rsid w:val="0036070F"/>
    <w:rsid w:val="003608BF"/>
    <w:rsid w:val="00382DAC"/>
    <w:rsid w:val="00384B82"/>
    <w:rsid w:val="003A1C96"/>
    <w:rsid w:val="003A6176"/>
    <w:rsid w:val="003A70AC"/>
    <w:rsid w:val="003B2B37"/>
    <w:rsid w:val="003D3DA4"/>
    <w:rsid w:val="003E3E90"/>
    <w:rsid w:val="003E730D"/>
    <w:rsid w:val="0042057E"/>
    <w:rsid w:val="00421214"/>
    <w:rsid w:val="00451B60"/>
    <w:rsid w:val="00452DCB"/>
    <w:rsid w:val="00460F24"/>
    <w:rsid w:val="00474266"/>
    <w:rsid w:val="0047592E"/>
    <w:rsid w:val="004849B7"/>
    <w:rsid w:val="004974EB"/>
    <w:rsid w:val="004A0C46"/>
    <w:rsid w:val="004A2F62"/>
    <w:rsid w:val="004B47E5"/>
    <w:rsid w:val="004C4324"/>
    <w:rsid w:val="004E0723"/>
    <w:rsid w:val="004F056D"/>
    <w:rsid w:val="004F5576"/>
    <w:rsid w:val="004F639E"/>
    <w:rsid w:val="00504E87"/>
    <w:rsid w:val="005056FB"/>
    <w:rsid w:val="00514AB3"/>
    <w:rsid w:val="005241A1"/>
    <w:rsid w:val="00526F4E"/>
    <w:rsid w:val="005333BF"/>
    <w:rsid w:val="005412B3"/>
    <w:rsid w:val="005421FD"/>
    <w:rsid w:val="005507E6"/>
    <w:rsid w:val="00560F50"/>
    <w:rsid w:val="00563C80"/>
    <w:rsid w:val="00584E62"/>
    <w:rsid w:val="0058608B"/>
    <w:rsid w:val="00597037"/>
    <w:rsid w:val="005A13F0"/>
    <w:rsid w:val="005C0C7A"/>
    <w:rsid w:val="005C4407"/>
    <w:rsid w:val="005E63F1"/>
    <w:rsid w:val="0060656C"/>
    <w:rsid w:val="00644DF8"/>
    <w:rsid w:val="006507A0"/>
    <w:rsid w:val="00654384"/>
    <w:rsid w:val="00657F91"/>
    <w:rsid w:val="00671A67"/>
    <w:rsid w:val="00682B82"/>
    <w:rsid w:val="0068533F"/>
    <w:rsid w:val="00694731"/>
    <w:rsid w:val="00695A67"/>
    <w:rsid w:val="006A52E7"/>
    <w:rsid w:val="006B449C"/>
    <w:rsid w:val="006D13EA"/>
    <w:rsid w:val="00741AAD"/>
    <w:rsid w:val="00743553"/>
    <w:rsid w:val="007A2C71"/>
    <w:rsid w:val="007B0B0F"/>
    <w:rsid w:val="007B2EF2"/>
    <w:rsid w:val="007C41A2"/>
    <w:rsid w:val="007E44B6"/>
    <w:rsid w:val="007F28AD"/>
    <w:rsid w:val="007F46AD"/>
    <w:rsid w:val="00815681"/>
    <w:rsid w:val="00817A59"/>
    <w:rsid w:val="0084577E"/>
    <w:rsid w:val="00851F91"/>
    <w:rsid w:val="008556E5"/>
    <w:rsid w:val="0086612E"/>
    <w:rsid w:val="00875016"/>
    <w:rsid w:val="008750AF"/>
    <w:rsid w:val="00877810"/>
    <w:rsid w:val="008A01E3"/>
    <w:rsid w:val="008D3234"/>
    <w:rsid w:val="0092342E"/>
    <w:rsid w:val="0094499A"/>
    <w:rsid w:val="00947EAD"/>
    <w:rsid w:val="00966ED8"/>
    <w:rsid w:val="0098326F"/>
    <w:rsid w:val="00995452"/>
    <w:rsid w:val="009B7038"/>
    <w:rsid w:val="009C0258"/>
    <w:rsid w:val="009C0B49"/>
    <w:rsid w:val="009C1463"/>
    <w:rsid w:val="009C3315"/>
    <w:rsid w:val="009C3701"/>
    <w:rsid w:val="009E753A"/>
    <w:rsid w:val="009F1328"/>
    <w:rsid w:val="009F47E6"/>
    <w:rsid w:val="009F6BAD"/>
    <w:rsid w:val="00A122EE"/>
    <w:rsid w:val="00A359CA"/>
    <w:rsid w:val="00A56C8E"/>
    <w:rsid w:val="00A65575"/>
    <w:rsid w:val="00A7676C"/>
    <w:rsid w:val="00A918E7"/>
    <w:rsid w:val="00AB4789"/>
    <w:rsid w:val="00AC630A"/>
    <w:rsid w:val="00AF3BBB"/>
    <w:rsid w:val="00B17F6B"/>
    <w:rsid w:val="00B348BA"/>
    <w:rsid w:val="00B54865"/>
    <w:rsid w:val="00B55DD2"/>
    <w:rsid w:val="00B63AF0"/>
    <w:rsid w:val="00B811E5"/>
    <w:rsid w:val="00B85092"/>
    <w:rsid w:val="00BA08B7"/>
    <w:rsid w:val="00BB0683"/>
    <w:rsid w:val="00BB3DA8"/>
    <w:rsid w:val="00BC4963"/>
    <w:rsid w:val="00BF6099"/>
    <w:rsid w:val="00C251C5"/>
    <w:rsid w:val="00C37ADA"/>
    <w:rsid w:val="00C6119C"/>
    <w:rsid w:val="00C66380"/>
    <w:rsid w:val="00C81B27"/>
    <w:rsid w:val="00C913B0"/>
    <w:rsid w:val="00C95BA6"/>
    <w:rsid w:val="00CA4245"/>
    <w:rsid w:val="00CB5EDF"/>
    <w:rsid w:val="00CD1627"/>
    <w:rsid w:val="00CE1F80"/>
    <w:rsid w:val="00D04A89"/>
    <w:rsid w:val="00D268B3"/>
    <w:rsid w:val="00D44F19"/>
    <w:rsid w:val="00D45900"/>
    <w:rsid w:val="00D533BC"/>
    <w:rsid w:val="00D71F99"/>
    <w:rsid w:val="00D95DE1"/>
    <w:rsid w:val="00DA1C80"/>
    <w:rsid w:val="00DC42C0"/>
    <w:rsid w:val="00E15599"/>
    <w:rsid w:val="00E24703"/>
    <w:rsid w:val="00E3002F"/>
    <w:rsid w:val="00E6357D"/>
    <w:rsid w:val="00E63F15"/>
    <w:rsid w:val="00E76A16"/>
    <w:rsid w:val="00E93EA3"/>
    <w:rsid w:val="00EA58DC"/>
    <w:rsid w:val="00EB3D8C"/>
    <w:rsid w:val="00EB640F"/>
    <w:rsid w:val="00ED4818"/>
    <w:rsid w:val="00EE6BD5"/>
    <w:rsid w:val="00EF17D8"/>
    <w:rsid w:val="00F03128"/>
    <w:rsid w:val="00F24AF3"/>
    <w:rsid w:val="00F32AB6"/>
    <w:rsid w:val="00F8798B"/>
    <w:rsid w:val="00F91D12"/>
    <w:rsid w:val="00F9549E"/>
    <w:rsid w:val="00F96486"/>
    <w:rsid w:val="00FA7936"/>
    <w:rsid w:val="00FB438E"/>
    <w:rsid w:val="00FE0B62"/>
    <w:rsid w:val="00FE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9E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37"/>
    <w:pPr>
      <w:spacing w:after="0" w:line="240" w:lineRule="auto"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B2B37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B2B37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3B2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B2B37"/>
    <w:rPr>
      <w:rFonts w:ascii="Courier New" w:hAnsi="Courier New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3B2B37"/>
    <w:rPr>
      <w:lang w:val="ru-RU" w:eastAsia="uk-UA"/>
    </w:rPr>
  </w:style>
  <w:style w:type="character" w:styleId="a7">
    <w:name w:val="Hyperlink"/>
    <w:basedOn w:val="a0"/>
    <w:uiPriority w:val="99"/>
    <w:rsid w:val="003B2B37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3B2B3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HeaderChar">
    <w:name w:val="Header Char"/>
    <w:basedOn w:val="a0"/>
    <w:uiPriority w:val="99"/>
    <w:locked/>
    <w:rsid w:val="003B2B37"/>
    <w:rPr>
      <w:rFonts w:ascii="Times New Roman" w:hAnsi="Times New Roman" w:cs="Times New Roman"/>
      <w:sz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3B2B37"/>
    <w:rPr>
      <w:rFonts w:ascii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rsid w:val="003B2B3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FooterChar">
    <w:name w:val="Footer Char"/>
    <w:basedOn w:val="a0"/>
    <w:uiPriority w:val="99"/>
    <w:locked/>
    <w:rsid w:val="003B2B37"/>
    <w:rPr>
      <w:rFonts w:ascii="Times New Roman" w:hAnsi="Times New Roman" w:cs="Times New Roman"/>
      <w:sz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3B2B37"/>
    <w:rPr>
      <w:rFonts w:ascii="Times New Roman" w:hAnsi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3B2B37"/>
    <w:rPr>
      <w:rFonts w:ascii="Times New Roman" w:hAnsi="Times New Roman"/>
      <w:sz w:val="20"/>
      <w:lang w:val="en-US" w:eastAsia="ru-RU"/>
    </w:rPr>
  </w:style>
  <w:style w:type="paragraph" w:styleId="ad">
    <w:name w:val="Body Text Indent"/>
    <w:basedOn w:val="a"/>
    <w:link w:val="ae"/>
    <w:uiPriority w:val="99"/>
    <w:semiHidden/>
    <w:rsid w:val="003B2B37"/>
    <w:pPr>
      <w:spacing w:after="120" w:line="24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F24AF3"/>
    <w:rPr>
      <w:rFonts w:cs="Times New Roman"/>
      <w:lang w:val="uk-UA" w:eastAsia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3B2B37"/>
    <w:rPr>
      <w:rFonts w:cs="Times New Roman"/>
    </w:rPr>
  </w:style>
  <w:style w:type="paragraph" w:customStyle="1" w:styleId="font5">
    <w:name w:val="font5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lang w:val="ru-RU" w:eastAsia="ru-RU"/>
    </w:rPr>
  </w:style>
  <w:style w:type="paragraph" w:customStyle="1" w:styleId="font6">
    <w:name w:val="font6"/>
    <w:basedOn w:val="a"/>
    <w:uiPriority w:val="99"/>
    <w:rsid w:val="003B2B37"/>
    <w:pPr>
      <w:spacing w:before="100" w:beforeAutospacing="1" w:after="100" w:afterAutospacing="1" w:line="240" w:lineRule="auto"/>
    </w:pPr>
    <w:rPr>
      <w:rFonts w:cs="Calibri"/>
      <w:lang w:val="ru-RU" w:eastAsia="ru-RU"/>
    </w:rPr>
  </w:style>
  <w:style w:type="paragraph" w:customStyle="1" w:styleId="xl63">
    <w:name w:val="xl63"/>
    <w:basedOn w:val="a"/>
    <w:uiPriority w:val="99"/>
    <w:rsid w:val="003B2B3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4">
    <w:name w:val="xl64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5">
    <w:name w:val="xl65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6">
    <w:name w:val="xl66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7">
    <w:name w:val="xl67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68">
    <w:name w:val="xl68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69">
    <w:name w:val="xl69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0">
    <w:name w:val="xl70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2">
    <w:name w:val="xl72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3">
    <w:name w:val="xl73"/>
    <w:basedOn w:val="a"/>
    <w:uiPriority w:val="99"/>
    <w:rsid w:val="003B2B3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4">
    <w:name w:val="xl74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5">
    <w:name w:val="xl75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76">
    <w:name w:val="xl76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7">
    <w:name w:val="xl77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8">
    <w:name w:val="xl78"/>
    <w:basedOn w:val="a"/>
    <w:uiPriority w:val="99"/>
    <w:rsid w:val="003B2B37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79">
    <w:name w:val="xl79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0">
    <w:name w:val="xl80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1">
    <w:name w:val="xl81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2">
    <w:name w:val="xl82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3">
    <w:name w:val="xl83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4">
    <w:name w:val="xl84"/>
    <w:basedOn w:val="a"/>
    <w:uiPriority w:val="99"/>
    <w:rsid w:val="003B2B3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5">
    <w:name w:val="xl85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6">
    <w:name w:val="xl86"/>
    <w:basedOn w:val="a"/>
    <w:uiPriority w:val="99"/>
    <w:rsid w:val="003B2B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7">
    <w:name w:val="xl87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8">
    <w:name w:val="xl88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89">
    <w:name w:val="xl89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90">
    <w:name w:val="xl90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91">
    <w:name w:val="xl91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92">
    <w:name w:val="xl9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93">
    <w:name w:val="xl93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94">
    <w:name w:val="xl94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8">
    <w:name w:val="xl98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9">
    <w:name w:val="xl99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0">
    <w:name w:val="xl100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1">
    <w:name w:val="xl101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2">
    <w:name w:val="xl10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3">
    <w:name w:val="xl103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6">
    <w:name w:val="xl106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7">
    <w:name w:val="xl107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8">
    <w:name w:val="xl108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9">
    <w:name w:val="xl109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10">
    <w:name w:val="xl110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11">
    <w:name w:val="xl111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"/>
    <w:uiPriority w:val="99"/>
    <w:rsid w:val="003B2B3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customStyle="1" w:styleId="xl116">
    <w:name w:val="xl116"/>
    <w:basedOn w:val="a"/>
    <w:uiPriority w:val="99"/>
    <w:rsid w:val="003B2B3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18">
    <w:name w:val="xl118"/>
    <w:basedOn w:val="a"/>
    <w:uiPriority w:val="99"/>
    <w:rsid w:val="003B2B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19">
    <w:name w:val="xl119"/>
    <w:basedOn w:val="a"/>
    <w:uiPriority w:val="99"/>
    <w:rsid w:val="003B2B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0">
    <w:name w:val="xl120"/>
    <w:basedOn w:val="a"/>
    <w:uiPriority w:val="99"/>
    <w:rsid w:val="003B2B3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customStyle="1" w:styleId="xl121">
    <w:name w:val="xl121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4">
    <w:name w:val="xl124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5">
    <w:name w:val="xl125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6">
    <w:name w:val="xl126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8">
    <w:name w:val="xl128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9">
    <w:name w:val="xl129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0">
    <w:name w:val="xl130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1">
    <w:name w:val="xl131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2">
    <w:name w:val="xl13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3">
    <w:name w:val="xl133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4">
    <w:name w:val="xl134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39">
    <w:name w:val="xl139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0">
    <w:name w:val="xl140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1">
    <w:name w:val="xl141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2">
    <w:name w:val="xl142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3">
    <w:name w:val="xl143"/>
    <w:basedOn w:val="a"/>
    <w:uiPriority w:val="99"/>
    <w:rsid w:val="003B2B37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4">
    <w:name w:val="xl144"/>
    <w:basedOn w:val="a"/>
    <w:uiPriority w:val="99"/>
    <w:rsid w:val="003B2B3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5">
    <w:name w:val="xl145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8">
    <w:name w:val="xl148"/>
    <w:basedOn w:val="a"/>
    <w:uiPriority w:val="99"/>
    <w:rsid w:val="003B2B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49">
    <w:name w:val="xl149"/>
    <w:basedOn w:val="a"/>
    <w:uiPriority w:val="99"/>
    <w:rsid w:val="003B2B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0">
    <w:name w:val="xl150"/>
    <w:basedOn w:val="a"/>
    <w:uiPriority w:val="99"/>
    <w:rsid w:val="003B2B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"/>
    <w:uiPriority w:val="99"/>
    <w:rsid w:val="003B2B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"/>
    <w:uiPriority w:val="99"/>
    <w:rsid w:val="003B2B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7">
    <w:name w:val="xl157"/>
    <w:basedOn w:val="a"/>
    <w:uiPriority w:val="99"/>
    <w:rsid w:val="003B2B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customStyle="1" w:styleId="2">
    <w:name w:val="Основной текст (2)_"/>
    <w:link w:val="20"/>
    <w:uiPriority w:val="99"/>
    <w:locked/>
    <w:rsid w:val="003B2B3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B2B37"/>
    <w:pPr>
      <w:widowControl w:val="0"/>
      <w:shd w:val="clear" w:color="auto" w:fill="FFFFFF"/>
      <w:spacing w:before="60" w:after="0" w:line="312" w:lineRule="exact"/>
      <w:ind w:hanging="380"/>
      <w:jc w:val="both"/>
    </w:pPr>
    <w:rPr>
      <w:rFonts w:ascii="Times New Roman" w:hAnsi="Times New Roman"/>
      <w:sz w:val="28"/>
      <w:szCs w:val="20"/>
      <w:lang w:val="en-US" w:eastAsia="ru-RU"/>
    </w:rPr>
  </w:style>
  <w:style w:type="table" w:styleId="af">
    <w:name w:val="Table Grid"/>
    <w:basedOn w:val="a1"/>
    <w:uiPriority w:val="99"/>
    <w:locked/>
    <w:rsid w:val="00EA58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rtemrada.gov.ua/documents/%D0%B1%D0%B0%D1%85%D0%BC%D1%83%D1%82/109-%D0%B2%D1%96%D0%B4-31012018/20180131-%E2%84%966109-20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0782D-13ED-4A69-9D50-F55510A1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36</Pages>
  <Words>6163</Words>
  <Characters>41530</Characters>
  <Application>Microsoft Office Word</Application>
  <DocSecurity>0</DocSecurity>
  <Lines>346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6</cp:revision>
  <cp:lastPrinted>2020-04-15T13:39:00Z</cp:lastPrinted>
  <dcterms:created xsi:type="dcterms:W3CDTF">2020-04-17T12:58:00Z</dcterms:created>
  <dcterms:modified xsi:type="dcterms:W3CDTF">2020-04-24T08:10:00Z</dcterms:modified>
</cp:coreProperties>
</file>