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543" w:rsidRPr="00917091" w:rsidRDefault="00582832" w:rsidP="009E7E04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582832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8" o:title=""/>
          </v:shape>
        </w:pict>
      </w:r>
      <w:r w:rsidR="00CC5543" w:rsidRPr="0040688F">
        <w:rPr>
          <w:rFonts w:ascii="Times New Roman" w:hAnsi="Times New Roman" w:cs="Times New Roman"/>
          <w:lang w:val="uk-UA"/>
        </w:rPr>
        <w:br w:type="textWrapping" w:clear="all"/>
      </w:r>
    </w:p>
    <w:p w:rsidR="00CC5543" w:rsidRPr="00933879" w:rsidRDefault="00CC5543" w:rsidP="009E7E04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915C2A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       </w:t>
      </w:r>
      <w:r w:rsidR="00CC6657">
        <w:rPr>
          <w:rFonts w:ascii="Times New Roman" w:hAnsi="Times New Roman" w:cs="Times New Roman"/>
          <w:b/>
          <w:bCs/>
          <w:sz w:val="40"/>
          <w:szCs w:val="40"/>
          <w:lang w:val="uk-UA"/>
        </w:rPr>
        <w:t>142</w:t>
      </w:r>
      <w:r w:rsidR="00865D6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</w:t>
      </w:r>
      <w:r w:rsidR="00CC5543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>СЕСІЯ 6 СКЛИКАННЯ</w:t>
      </w:r>
    </w:p>
    <w:p w:rsidR="00CC5543" w:rsidRPr="00917091" w:rsidRDefault="00CC5543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C5543" w:rsidRPr="0040688F" w:rsidRDefault="00CC5543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0688F"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:rsidR="00CC5543" w:rsidRPr="00917091" w:rsidRDefault="00CC5543" w:rsidP="009E7E0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C5543" w:rsidRPr="0040688F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7408E" w:rsidRDefault="00722AF6" w:rsidP="009E7E04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27.05</w:t>
      </w:r>
      <w:r w:rsidR="00DF60C5">
        <w:rPr>
          <w:rFonts w:ascii="Times New Roman" w:hAnsi="Times New Roman" w:cs="Times New Roman"/>
          <w:sz w:val="28"/>
          <w:szCs w:val="28"/>
          <w:u w:val="single"/>
          <w:lang w:val="uk-UA"/>
        </w:rPr>
        <w:t>.2020 № 6/</w:t>
      </w:r>
      <w:r w:rsidR="00CC6657">
        <w:rPr>
          <w:rFonts w:ascii="Times New Roman" w:hAnsi="Times New Roman" w:cs="Times New Roman"/>
          <w:sz w:val="28"/>
          <w:szCs w:val="28"/>
          <w:u w:val="single"/>
          <w:lang w:val="uk-UA"/>
        </w:rPr>
        <w:t>142</w:t>
      </w:r>
      <w:r w:rsidR="00865D6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-</w:t>
      </w:r>
      <w:r w:rsidR="00CC665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2998</w:t>
      </w:r>
      <w:r w:rsidR="00CC665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="00865D6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CC5543" w:rsidRPr="0027408E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08E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27408E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</w:p>
    <w:tbl>
      <w:tblPr>
        <w:tblW w:w="0" w:type="auto"/>
        <w:tblInd w:w="-106" w:type="dxa"/>
        <w:tblLook w:val="01E0"/>
      </w:tblPr>
      <w:tblGrid>
        <w:gridCol w:w="5760"/>
      </w:tblGrid>
      <w:tr w:rsidR="00CC5543" w:rsidRPr="00115957">
        <w:tc>
          <w:tcPr>
            <w:tcW w:w="5760" w:type="dxa"/>
          </w:tcPr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внесення змін до 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</w:t>
            </w:r>
          </w:p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програми  по соціальному захисту </w:t>
            </w:r>
          </w:p>
          <w:p w:rsidR="00394819" w:rsidRDefault="00394819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окремих категорій громадян на</w:t>
            </w:r>
            <w:r w:rsidR="00CC5543"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CC5543" w:rsidRPr="00394819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2019-2022 роки</w:t>
            </w:r>
          </w:p>
        </w:tc>
      </w:tr>
    </w:tbl>
    <w:p w:rsidR="00CC5543" w:rsidRDefault="00CC5543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2F196B" w:rsidRPr="00917091" w:rsidRDefault="002F196B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C57493" w:rsidRDefault="00CC554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91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доповідну записку </w:t>
      </w:r>
      <w:r w:rsidR="00394819" w:rsidRPr="0039481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 захисту населення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4819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 І.В.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96B" w:rsidRPr="00B07913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15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DF" w:rsidRPr="00AE70DF">
        <w:rPr>
          <w:rFonts w:ascii="Times New Roman" w:hAnsi="Times New Roman" w:cs="Times New Roman"/>
          <w:sz w:val="28"/>
          <w:szCs w:val="28"/>
          <w:lang w:val="uk-UA"/>
        </w:rPr>
        <w:t>13.05.2020 № 08/2575</w:t>
      </w:r>
      <w:r w:rsidR="00915C2A"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0C5" w:rsidRPr="00AE70DF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DF60C5" w:rsidRPr="00AE70DF">
        <w:rPr>
          <w:rFonts w:ascii="Times New Roman" w:hAnsi="Times New Roman" w:cs="Times New Roman"/>
          <w:sz w:val="28"/>
          <w:szCs w:val="28"/>
          <w:lang w:val="uk-UA"/>
        </w:rPr>
        <w:t>вх.</w:t>
      </w:r>
      <w:r w:rsidR="00AE70DF" w:rsidRPr="00AE70DF">
        <w:rPr>
          <w:rFonts w:ascii="Times New Roman" w:hAnsi="Times New Roman" w:cs="Times New Roman"/>
          <w:sz w:val="28"/>
          <w:szCs w:val="28"/>
          <w:lang w:val="uk-UA"/>
        </w:rPr>
        <w:t>№</w:t>
      </w:r>
      <w:proofErr w:type="spellEnd"/>
      <w:r w:rsidR="00AE70DF"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01-2766-06  від  13</w:t>
      </w:r>
      <w:r w:rsidR="00E80F8B" w:rsidRPr="00AE70DF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E93488" w:rsidRPr="00AE70D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DF60C5" w:rsidRPr="00AE70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196B"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488" w:rsidRPr="00AE70D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94819"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Комплексної програми  по соціальному захисту окремих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категорій </w:t>
      </w:r>
      <w:r w:rsidR="00514C9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громадян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рішенням Бахмутської міської ради від 28.11.2018 № 6/123-2363 (зі змінами),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>враховуючи висновки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488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управління Бахмутської міської ради від </w:t>
      </w:r>
      <w:r w:rsidR="00AE70DF" w:rsidRPr="00AE70D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E80F8B" w:rsidRPr="00AE70DF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E93488" w:rsidRPr="00AE70D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E80F8B"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E70DF" w:rsidRPr="00AE70DF">
        <w:rPr>
          <w:rFonts w:ascii="Times New Roman" w:hAnsi="Times New Roman" w:cs="Times New Roman"/>
          <w:sz w:val="28"/>
          <w:szCs w:val="28"/>
          <w:lang w:val="uk-UA"/>
        </w:rPr>
        <w:t>02-23/279</w:t>
      </w:r>
      <w:r w:rsidR="00E93488" w:rsidRPr="00AE70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EBD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економічного </w:t>
      </w:r>
      <w:r w:rsidR="00AB7EBD" w:rsidRPr="00865D62">
        <w:rPr>
          <w:rFonts w:ascii="Times New Roman" w:hAnsi="Times New Roman" w:cs="Times New Roman"/>
          <w:sz w:val="28"/>
          <w:szCs w:val="28"/>
          <w:lang w:val="uk-UA"/>
        </w:rPr>
        <w:t>розвитку Бахмутської</w:t>
      </w:r>
      <w:r w:rsidR="00394819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4E6" w:rsidRPr="00865D62">
        <w:rPr>
          <w:rFonts w:ascii="Times New Roman" w:hAnsi="Times New Roman" w:cs="Times New Roman"/>
          <w:sz w:val="28"/>
          <w:szCs w:val="28"/>
          <w:lang w:val="uk-UA"/>
        </w:rPr>
        <w:t>міської ради від</w:t>
      </w:r>
      <w:r w:rsidR="00AE7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DF" w:rsidRPr="00AE70D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E80F8B" w:rsidRPr="00AE70DF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7344E6" w:rsidRPr="00AE70D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7344E6" w:rsidRPr="00D02146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 w:rsidR="00865D62" w:rsidRPr="00D02146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 w:rsidR="00865D62" w:rsidRPr="00AE70D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E70DF"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345/02</w:t>
      </w:r>
      <w:r w:rsidR="00394819" w:rsidRPr="00D02146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394819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F0F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5D62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до  з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аконів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України: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«Про охорону дитинства», </w:t>
      </w:r>
      <w:r w:rsidRPr="006569EC">
        <w:rPr>
          <w:rFonts w:ascii="Times New Roman" w:hAnsi="Times New Roman" w:cs="Times New Roman"/>
          <w:sz w:val="28"/>
          <w:szCs w:val="28"/>
          <w:lang w:val="uk-UA"/>
        </w:rPr>
        <w:t xml:space="preserve"> «Про оздоровлення та відпочинок дітей»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забезпечення прав і свобо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д внутрішньо переміщених осіб»,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DD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№6/98-178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змінами)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, керуючись ст.26 Закону Ук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26F4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C57493" w:rsidRPr="002C0BB4" w:rsidRDefault="00C5749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8026F4" w:rsidRDefault="00CC5543" w:rsidP="002B2CEC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CC5543" w:rsidRPr="00917091" w:rsidRDefault="00CC5543" w:rsidP="009E7E04">
      <w:pPr>
        <w:spacing w:after="0" w:line="240" w:lineRule="atLeast"/>
        <w:ind w:firstLine="708"/>
        <w:rPr>
          <w:rFonts w:ascii="Times New Roman" w:hAnsi="Times New Roman" w:cs="Times New Roman"/>
          <w:i/>
          <w:iCs/>
          <w:lang w:val="uk-UA"/>
        </w:rPr>
      </w:pPr>
    </w:p>
    <w:p w:rsidR="00CC5543" w:rsidRDefault="00CC5543" w:rsidP="009E7E04">
      <w:pPr>
        <w:numPr>
          <w:ilvl w:val="0"/>
          <w:numId w:val="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234">
        <w:rPr>
          <w:rFonts w:ascii="Times New Roman" w:hAnsi="Times New Roman" w:cs="Times New Roman"/>
          <w:sz w:val="28"/>
          <w:szCs w:val="28"/>
          <w:lang w:val="uk-UA"/>
        </w:rPr>
        <w:t>Внести та затвердити наступні зміни до Комплексної  програми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окремих категорій громадян 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Бахмутської міської ради від 28.11.2018 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lastRenderedPageBreak/>
        <w:t>№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>6/123-2363</w:t>
      </w:r>
      <w:r>
        <w:rPr>
          <w:rFonts w:ascii="Times New Roman" w:hAnsi="Times New Roman" w:cs="Times New Roman"/>
          <w:sz w:val="28"/>
          <w:szCs w:val="28"/>
          <w:lang w:val="uk-UA"/>
        </w:rPr>
        <w:t>, із змі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нами, внесеними до неї рішенням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ької ради</w:t>
      </w:r>
      <w:r w:rsidR="00915C2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27.11.2019 №</w:t>
      </w:r>
      <w:r w:rsidR="00CC6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7C7">
        <w:rPr>
          <w:rFonts w:ascii="Times New Roman" w:hAnsi="Times New Roman" w:cs="Times New Roman"/>
          <w:sz w:val="28"/>
          <w:szCs w:val="28"/>
          <w:lang w:val="uk-UA"/>
        </w:rPr>
        <w:t xml:space="preserve"> 6/135-2738, 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 xml:space="preserve">від  21.04.2020 </w:t>
      </w:r>
      <w:r w:rsidR="00CC6657">
        <w:rPr>
          <w:rFonts w:ascii="Times New Roman" w:hAnsi="Times New Roman" w:cs="Times New Roman"/>
          <w:sz w:val="28"/>
          <w:szCs w:val="28"/>
          <w:lang w:val="uk-UA"/>
        </w:rPr>
        <w:t>№ 6/141-2970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(далі – Програма) :</w:t>
      </w:r>
    </w:p>
    <w:p w:rsidR="00CC5543" w:rsidRDefault="00CC5543" w:rsidP="00222468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24519" w:rsidRDefault="0013778D" w:rsidP="009A0EF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4519">
        <w:rPr>
          <w:rFonts w:ascii="Times New Roman" w:hAnsi="Times New Roman" w:cs="Times New Roman"/>
          <w:sz w:val="28"/>
          <w:szCs w:val="28"/>
        </w:rPr>
        <w:t xml:space="preserve">          1.1</w:t>
      </w:r>
      <w:r w:rsidR="00CC5543" w:rsidRPr="00224519">
        <w:rPr>
          <w:rFonts w:ascii="Times New Roman" w:hAnsi="Times New Roman" w:cs="Times New Roman"/>
          <w:sz w:val="28"/>
          <w:szCs w:val="28"/>
        </w:rPr>
        <w:t>. Пункт 9 та підпункт 9.1. Паспорту Програми викласти у новій редакції:</w:t>
      </w:r>
    </w:p>
    <w:p w:rsidR="00CC5543" w:rsidRPr="00224519" w:rsidRDefault="00CC5543" w:rsidP="009A0EF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6"/>
        <w:gridCol w:w="3996"/>
        <w:gridCol w:w="5103"/>
      </w:tblGrid>
      <w:tr w:rsidR="00CC5543" w:rsidRPr="00224519">
        <w:trPr>
          <w:trHeight w:val="705"/>
        </w:trPr>
        <w:tc>
          <w:tcPr>
            <w:tcW w:w="576" w:type="dxa"/>
          </w:tcPr>
          <w:p w:rsidR="00CC5543" w:rsidRPr="00224519" w:rsidRDefault="00CC5543" w:rsidP="00F3794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996" w:type="dxa"/>
          </w:tcPr>
          <w:p w:rsidR="00CC5543" w:rsidRPr="00224519" w:rsidRDefault="00CC5543" w:rsidP="00F3794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 Програми, всього:</w:t>
            </w:r>
          </w:p>
        </w:tc>
        <w:tc>
          <w:tcPr>
            <w:tcW w:w="5103" w:type="dxa"/>
          </w:tcPr>
          <w:p w:rsidR="00CC5543" w:rsidRPr="00224519" w:rsidRDefault="00CC5543" w:rsidP="00F3794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43" w:rsidRPr="00224519" w:rsidRDefault="00224519" w:rsidP="00F3794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204740</w:t>
            </w:r>
            <w:r w:rsidR="00915C2A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3F29AF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,8</w:t>
            </w:r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C5543" w:rsidRPr="00224519">
        <w:trPr>
          <w:trHeight w:val="1679"/>
        </w:trPr>
        <w:tc>
          <w:tcPr>
            <w:tcW w:w="576" w:type="dxa"/>
          </w:tcPr>
          <w:p w:rsidR="00CC5543" w:rsidRPr="00224519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96" w:type="dxa"/>
          </w:tcPr>
          <w:p w:rsidR="00CC5543" w:rsidRPr="00224519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7519D4" w:rsidRPr="00224519" w:rsidRDefault="007519D4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міського бюджету</w:t>
            </w:r>
          </w:p>
          <w:p w:rsidR="00CC5543" w:rsidRPr="00224519" w:rsidRDefault="00CC5543" w:rsidP="0034237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коштів  бюджету Бахмутської міської об’єднаної </w:t>
            </w:r>
            <w:proofErr w:type="spellStart"/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територі-альної</w:t>
            </w:r>
            <w:proofErr w:type="spellEnd"/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громади;</w:t>
            </w:r>
          </w:p>
          <w:p w:rsidR="00CC5543" w:rsidRPr="00224519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CC5543" w:rsidRPr="00224519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державного бюджету;</w:t>
            </w:r>
          </w:p>
          <w:p w:rsidR="00CC5543" w:rsidRPr="00224519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інших  джерел.</w:t>
            </w:r>
          </w:p>
        </w:tc>
        <w:tc>
          <w:tcPr>
            <w:tcW w:w="5103" w:type="dxa"/>
          </w:tcPr>
          <w:p w:rsidR="00CC5543" w:rsidRPr="00224519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19D4" w:rsidRPr="00224519" w:rsidRDefault="007519D4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37229,8 </w:t>
            </w:r>
            <w:proofErr w:type="spellStart"/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224519" w:rsidRDefault="00224519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17078</w:t>
            </w:r>
            <w:r w:rsidR="007519D4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</w:t>
            </w:r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224519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43" w:rsidRPr="00224519" w:rsidRDefault="00CC5543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43" w:rsidRPr="00224519" w:rsidRDefault="00915C2A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5234</w:t>
            </w:r>
            <w:r w:rsidR="007519D4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,5 </w:t>
            </w:r>
            <w:proofErr w:type="spellStart"/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224519" w:rsidRDefault="00CC5543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1785796,1 </w:t>
            </w:r>
            <w:proofErr w:type="spellStart"/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224519" w:rsidRDefault="007519D4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1251,6</w:t>
            </w:r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2245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CC5543" w:rsidRPr="00CC6657" w:rsidRDefault="00CC5543" w:rsidP="009E7E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en-US"/>
        </w:rPr>
      </w:pPr>
    </w:p>
    <w:p w:rsidR="00CC5543" w:rsidRPr="00224519" w:rsidRDefault="0013778D" w:rsidP="0013778D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414C5A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Розділ 6 «Обсяги та джерела фінансування Програми» викласти</w:t>
      </w:r>
    </w:p>
    <w:p w:rsidR="00CC5543" w:rsidRPr="00224519" w:rsidRDefault="00CC5543" w:rsidP="00B60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>у новій редакції:</w:t>
      </w:r>
    </w:p>
    <w:p w:rsidR="00CC5543" w:rsidRPr="00224519" w:rsidRDefault="00CC5543" w:rsidP="00B60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24519" w:rsidRDefault="007F5191" w:rsidP="007F5191">
      <w:pPr>
        <w:pStyle w:val="a3"/>
        <w:spacing w:after="0"/>
        <w:ind w:left="360"/>
        <w:rPr>
          <w:b/>
          <w:bCs/>
          <w:lang w:val="uk-UA"/>
        </w:rPr>
      </w:pPr>
      <w:r w:rsidRPr="002245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2B2CEC" w:rsidRPr="00224519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Pr="00224519"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proofErr w:type="spellStart"/>
      <w:r w:rsidR="00CC5543" w:rsidRPr="00224519">
        <w:rPr>
          <w:rFonts w:ascii="Times New Roman" w:hAnsi="Times New Roman" w:cs="Times New Roman"/>
          <w:b/>
          <w:bCs/>
          <w:sz w:val="28"/>
          <w:szCs w:val="28"/>
        </w:rPr>
        <w:t>Обсяги</w:t>
      </w:r>
      <w:proofErr w:type="spellEnd"/>
      <w:r w:rsidR="00CC5543" w:rsidRPr="00224519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CC5543" w:rsidRPr="00224519">
        <w:rPr>
          <w:rFonts w:ascii="Times New Roman" w:hAnsi="Times New Roman" w:cs="Times New Roman"/>
          <w:b/>
          <w:bCs/>
          <w:sz w:val="28"/>
          <w:szCs w:val="28"/>
        </w:rPr>
        <w:t>джерела</w:t>
      </w:r>
      <w:proofErr w:type="spellEnd"/>
      <w:r w:rsidR="00CC5543" w:rsidRPr="002245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CC5543" w:rsidRPr="00224519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  <w:r w:rsidR="00CC5543" w:rsidRPr="002245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proofErr w:type="spellStart"/>
      <w:r w:rsidR="00CC5543" w:rsidRPr="00224519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2B2CEC" w:rsidRPr="00224519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CC5543" w:rsidRPr="00224519" w:rsidRDefault="00CC5543" w:rsidP="009E7E04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24519" w:rsidRDefault="00CC5543" w:rsidP="00C57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Програми в цілому складає   </w:t>
      </w:r>
      <w:r w:rsidR="00224519" w:rsidRPr="00224519">
        <w:rPr>
          <w:rFonts w:ascii="Times New Roman" w:hAnsi="Times New Roman" w:cs="Times New Roman"/>
          <w:sz w:val="28"/>
          <w:szCs w:val="28"/>
          <w:lang w:val="uk-UA"/>
        </w:rPr>
        <w:t>204740</w:t>
      </w:r>
      <w:r w:rsidR="00332338" w:rsidRPr="00224519">
        <w:rPr>
          <w:rFonts w:ascii="Times New Roman" w:hAnsi="Times New Roman" w:cs="Times New Roman"/>
          <w:sz w:val="28"/>
          <w:szCs w:val="28"/>
          <w:lang w:val="uk-UA"/>
        </w:rPr>
        <w:t>6,8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451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24519">
        <w:rPr>
          <w:rFonts w:ascii="Times New Roman" w:hAnsi="Times New Roman" w:cs="Times New Roman"/>
          <w:sz w:val="28"/>
          <w:szCs w:val="28"/>
          <w:lang w:val="uk-UA"/>
        </w:rPr>
        <w:t>., в тому числі:</w:t>
      </w:r>
    </w:p>
    <w:p w:rsidR="00332338" w:rsidRPr="00224519" w:rsidRDefault="00332338" w:rsidP="00C57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24519" w:rsidRDefault="007F5191" w:rsidP="007F5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54508" w:rsidRPr="002245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338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коштів міського бюджету -37229,8 </w:t>
      </w:r>
      <w:proofErr w:type="spellStart"/>
      <w:r w:rsidR="00332338" w:rsidRPr="0022451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32338" w:rsidRPr="002245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2245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224519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- коштів бюджету Бахмутської міської об’єднаної територіальної громади                                                                        </w:t>
      </w:r>
      <w:r w:rsidR="0038687C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24519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- 17078</w:t>
      </w:r>
      <w:r w:rsidR="00332338" w:rsidRPr="00224519">
        <w:rPr>
          <w:rFonts w:ascii="Times New Roman" w:hAnsi="Times New Roman" w:cs="Times New Roman"/>
          <w:sz w:val="28"/>
          <w:szCs w:val="28"/>
          <w:lang w:val="uk-UA"/>
        </w:rPr>
        <w:t>1,8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2245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224519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- коштів обласного бюджету</w:t>
      </w:r>
      <w:r w:rsidR="00C175C4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-</w:t>
      </w:r>
      <w:r w:rsidR="00915C2A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5234</w:t>
      </w:r>
      <w:r w:rsidR="00332338" w:rsidRPr="00224519">
        <w:rPr>
          <w:rFonts w:ascii="Times New Roman" w:hAnsi="Times New Roman" w:cs="Times New Roman"/>
          <w:sz w:val="28"/>
          <w:szCs w:val="28"/>
          <w:lang w:val="uk-UA"/>
        </w:rPr>
        <w:t>7,5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2245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224519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- коштів державного бюджету  </w:t>
      </w:r>
      <w:r w:rsidR="00C175C4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-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1785796,1  </w:t>
      </w:r>
      <w:proofErr w:type="spellStart"/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2245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224519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>- кошти інших  джерел</w:t>
      </w:r>
      <w:r w:rsidR="00332338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75C4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-</w:t>
      </w:r>
      <w:r w:rsidR="00332338" w:rsidRPr="00224519">
        <w:rPr>
          <w:rFonts w:ascii="Times New Roman" w:hAnsi="Times New Roman" w:cs="Times New Roman"/>
          <w:sz w:val="28"/>
          <w:szCs w:val="28"/>
          <w:lang w:val="uk-UA"/>
        </w:rPr>
        <w:t>1251,6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22451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245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543" w:rsidRPr="00224519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>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Програми».</w:t>
      </w:r>
    </w:p>
    <w:p w:rsidR="00CC5543" w:rsidRPr="00224519" w:rsidRDefault="00CC5543" w:rsidP="00AB6012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ок 1 «Заходи з реалізації  Програми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з додатком 1.</w:t>
      </w:r>
    </w:p>
    <w:p w:rsidR="00CC5543" w:rsidRPr="00AB6012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Pr="00224519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F3A32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3778D" w:rsidRPr="00224519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. Додаток 2 «Показники результативності Програми» викласти у новій  редакції згідно з додатком 2.</w:t>
      </w:r>
    </w:p>
    <w:p w:rsidR="00CC5543" w:rsidRPr="00224519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Pr="00224519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5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13778D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3A32" w:rsidRPr="0022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78D" w:rsidRPr="00224519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CC5543" w:rsidRPr="00224519">
        <w:rPr>
          <w:rFonts w:ascii="Times New Roman" w:hAnsi="Times New Roman" w:cs="Times New Roman"/>
          <w:sz w:val="28"/>
          <w:szCs w:val="28"/>
          <w:lang w:val="uk-UA"/>
        </w:rPr>
        <w:t>. Додаток 3  «Ресурсне забезпечення Програми» викласти у новій редакції  згідно з додатком 3.</w:t>
      </w:r>
    </w:p>
    <w:p w:rsidR="00CC5543" w:rsidRPr="00224519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414C5A" w:rsidRDefault="00CC5543" w:rsidP="00414C5A">
      <w:pPr>
        <w:numPr>
          <w:ilvl w:val="0"/>
          <w:numId w:val="1"/>
        </w:numPr>
        <w:tabs>
          <w:tab w:val="clear" w:pos="1211"/>
          <w:tab w:val="num" w:pos="993"/>
        </w:tabs>
        <w:spacing w:after="0" w:line="240" w:lineRule="atLeast"/>
        <w:ind w:hanging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  </w:t>
      </w:r>
      <w:r w:rsidR="00BD4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управлінню   Бахмутс</w:t>
      </w:r>
      <w:r w:rsidR="00BD4CFF">
        <w:rPr>
          <w:rFonts w:ascii="Times New Roman" w:hAnsi="Times New Roman" w:cs="Times New Roman"/>
          <w:sz w:val="28"/>
          <w:szCs w:val="28"/>
          <w:lang w:val="uk-UA"/>
        </w:rPr>
        <w:t>ької    міської    ради (</w:t>
      </w:r>
      <w:r w:rsidR="00BD4CFF" w:rsidRPr="00224519">
        <w:rPr>
          <w:rFonts w:ascii="Times New Roman" w:hAnsi="Times New Roman" w:cs="Times New Roman"/>
          <w:sz w:val="28"/>
          <w:szCs w:val="28"/>
          <w:lang w:val="uk-UA"/>
        </w:rPr>
        <w:t>Ткаченко)</w:t>
      </w:r>
    </w:p>
    <w:p w:rsidR="00CC5543" w:rsidRPr="00414C5A" w:rsidRDefault="00CC5543" w:rsidP="00414C5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фінансування заходів  Програми у межах бюджетних коштів, передбачених у кошторисах доходів та видатків Управління праці та соціального захисту населення </w:t>
      </w:r>
      <w:r w:rsidR="0013778D" w:rsidRPr="00414C5A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 на 2020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 рік на ці цілі, та передбачати кошти на фінансування заходів Програми 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</w:t>
      </w:r>
      <w:proofErr w:type="spellStart"/>
      <w:r w:rsidR="00414C5A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бюджету  Бахмутської міської об’єднаної територіальної громади  на наступні роки.</w:t>
      </w:r>
    </w:p>
    <w:p w:rsidR="00CC5543" w:rsidRPr="00852994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22468" w:rsidRDefault="00CC5543" w:rsidP="002D7F5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>Вважати  таким, що  втратило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чинність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468">
        <w:rPr>
          <w:rFonts w:ascii="Times New Roman" w:hAnsi="Times New Roman" w:cs="Times New Roman"/>
          <w:sz w:val="28"/>
          <w:szCs w:val="28"/>
          <w:lang w:val="uk-UA"/>
        </w:rPr>
        <w:t>рішення Бахмутської міської р</w:t>
      </w:r>
      <w:r w:rsidR="00CC6657">
        <w:rPr>
          <w:rFonts w:ascii="Times New Roman" w:hAnsi="Times New Roman" w:cs="Times New Roman"/>
          <w:sz w:val="28"/>
          <w:szCs w:val="28"/>
          <w:lang w:val="uk-UA"/>
        </w:rPr>
        <w:t>ади від 21.04.2020 № 6/141-2970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Комплексної програми по соціальному захисту окремих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категорій громадян 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019-2022 роки»</w:t>
      </w:r>
      <w:r w:rsidRPr="002224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Pr="002D7F56" w:rsidRDefault="00CC5543" w:rsidP="00C5749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87C" w:rsidRPr="002D7F56">
        <w:rPr>
          <w:rFonts w:ascii="Times New Roman" w:hAnsi="Times New Roman" w:cs="Times New Roman"/>
          <w:sz w:val="28"/>
          <w:szCs w:val="28"/>
          <w:lang w:val="uk-UA"/>
        </w:rPr>
        <w:t>покласти на Управління праці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57493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 Бахмутської міської ради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), Фінансове управління Бахмутської міської ради 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>(Ткаченко),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  голови   Точену  В.В.,   першого   заступника   міського   голови Савченко Т.М.</w:t>
      </w:r>
    </w:p>
    <w:p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Pr="002D7F56" w:rsidRDefault="00CC5543" w:rsidP="00EF3A32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ня покласти на постійні комісії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ради: з питань соціального захисту населення і охорони здоров’я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CC5543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63C" w:rsidRDefault="007A763C" w:rsidP="003879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Default="00CC5543" w:rsidP="004343D3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</w:t>
      </w:r>
      <w:r w:rsidR="009057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="007A76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О.О.РЕВА</w:t>
      </w:r>
    </w:p>
    <w:p w:rsidR="00CC5543" w:rsidRDefault="00CC5543" w:rsidP="008434AD">
      <w:pPr>
        <w:tabs>
          <w:tab w:val="left" w:pos="1735"/>
          <w:tab w:val="left" w:pos="2019"/>
        </w:tabs>
        <w:spacing w:after="0" w:line="220" w:lineRule="auto"/>
        <w:rPr>
          <w:rFonts w:ascii="Times New Roman" w:hAnsi="Times New Roman" w:cs="Times New Roman"/>
          <w:snapToGrid w:val="0"/>
          <w:sz w:val="20"/>
          <w:szCs w:val="20"/>
          <w:lang w:val="uk-UA"/>
        </w:rPr>
        <w:sectPr w:rsidR="00CC5543" w:rsidSect="000257C9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jc w:val="right"/>
        <w:tblLook w:val="00A0"/>
      </w:tblPr>
      <w:tblGrid>
        <w:gridCol w:w="14786"/>
      </w:tblGrid>
      <w:tr w:rsidR="00CC5543" w:rsidRPr="00722AF6" w:rsidTr="000257C9">
        <w:trPr>
          <w:jc w:val="right"/>
        </w:trPr>
        <w:tc>
          <w:tcPr>
            <w:tcW w:w="14786" w:type="dxa"/>
          </w:tcPr>
          <w:tbl>
            <w:tblPr>
              <w:tblW w:w="0" w:type="auto"/>
              <w:tblLook w:val="00A0"/>
            </w:tblPr>
            <w:tblGrid>
              <w:gridCol w:w="14570"/>
            </w:tblGrid>
            <w:tr w:rsidR="00EF5C5A" w:rsidTr="00AB7EBD">
              <w:tc>
                <w:tcPr>
                  <w:tcW w:w="14570" w:type="dxa"/>
                </w:tcPr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Додаток 2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до Комплексної програми по соціальному       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захисту окремих категорій громадян на 2019-   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2022 роки, затвердженої рішенням Бахмутської </w:t>
                  </w:r>
                  <w:r w:rsidR="00324FCD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  </w:t>
                  </w:r>
                </w:p>
                <w:p w:rsidR="00EF5C5A" w:rsidRDefault="00324FCD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міської ради </w:t>
                  </w:r>
                  <w:r w:rsidR="00EF5C5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28.11.2018 №6/123-2363</w:t>
                  </w:r>
                  <w:r w:rsidR="008C329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, із змінами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(Додаток 2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у редакції рішення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Бахмутської міської ради</w:t>
                  </w:r>
                </w:p>
                <w:p w:rsidR="00EF5C5A" w:rsidRDefault="00722AF6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( 27.05</w:t>
                  </w:r>
                  <w:r w:rsidR="00324FCD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.2020№6/</w:t>
                  </w:r>
                  <w:r w:rsidR="00D02146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142-  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2998</w:t>
                  </w:r>
                  <w:r w:rsidR="00EF1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="00EF5C5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)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right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F5C5A" w:rsidRDefault="00EF5C5A" w:rsidP="00EF5C5A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ПОКАЗНИКИ  РЕЗУЛЬТАТИВНОСТІ  ПРОГРАМИ</w:t>
            </w:r>
          </w:p>
          <w:tbl>
            <w:tblPr>
              <w:tblW w:w="147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1E0"/>
            </w:tblPr>
            <w:tblGrid>
              <w:gridCol w:w="427"/>
              <w:gridCol w:w="7089"/>
              <w:gridCol w:w="1330"/>
              <w:gridCol w:w="142"/>
              <w:gridCol w:w="87"/>
              <w:gridCol w:w="905"/>
              <w:gridCol w:w="142"/>
              <w:gridCol w:w="87"/>
              <w:gridCol w:w="1047"/>
              <w:gridCol w:w="87"/>
              <w:gridCol w:w="1134"/>
              <w:gridCol w:w="1134"/>
              <w:gridCol w:w="848"/>
              <w:gridCol w:w="286"/>
            </w:tblGrid>
            <w:tr w:rsidR="00EF5C5A" w:rsidTr="00AB7EBD">
              <w:trPr>
                <w:trHeight w:val="419"/>
              </w:trPr>
              <w:tc>
                <w:tcPr>
                  <w:tcW w:w="426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№ з/п</w:t>
                  </w:r>
                </w:p>
              </w:tc>
              <w:tc>
                <w:tcPr>
                  <w:tcW w:w="7087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Назва показника</w:t>
                  </w:r>
                </w:p>
              </w:tc>
              <w:tc>
                <w:tcPr>
                  <w:tcW w:w="1330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Одиниця виміру</w:t>
                  </w:r>
                </w:p>
              </w:tc>
              <w:tc>
                <w:tcPr>
                  <w:tcW w:w="1134" w:type="dxa"/>
                  <w:gridSpan w:val="3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Вихідні дані на початок дії програми</w:t>
                  </w:r>
                </w:p>
              </w:tc>
              <w:tc>
                <w:tcPr>
                  <w:tcW w:w="4479" w:type="dxa"/>
                  <w:gridSpan w:val="7"/>
                  <w:tcBorders>
                    <w:righ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Етапи виконання Програми</w:t>
                  </w:r>
                </w:p>
              </w:tc>
              <w:tc>
                <w:tcPr>
                  <w:tcW w:w="286" w:type="dxa"/>
                  <w:vMerge w:val="restart"/>
                  <w:tcBorders>
                    <w:lef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EF5C5A" w:rsidTr="00AB7EBD">
              <w:trPr>
                <w:trHeight w:val="555"/>
              </w:trPr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900" w:type="dxa"/>
                  <w:gridSpan w:val="3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497" w:type="dxa"/>
                  <w:gridSpan w:val="5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 xml:space="preserve">I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</w:t>
                  </w:r>
                </w:p>
              </w:tc>
              <w:tc>
                <w:tcPr>
                  <w:tcW w:w="1982" w:type="dxa"/>
                  <w:gridSpan w:val="2"/>
                  <w:tcBorders>
                    <w:righ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 xml:space="preserve">  етап</w:t>
                  </w:r>
                </w:p>
              </w:tc>
              <w:tc>
                <w:tcPr>
                  <w:tcW w:w="286" w:type="dxa"/>
                  <w:vMerge/>
                  <w:tcBorders>
                    <w:left w:val="nil"/>
                  </w:tcBorders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EF5C5A" w:rsidTr="00AB7EBD"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900" w:type="dxa"/>
                  <w:gridSpan w:val="3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3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ind w:right="369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19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221" w:type="dxa"/>
                  <w:gridSpan w:val="2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21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134" w:type="dxa"/>
                  <w:gridSpan w:val="2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2022 рік</w:t>
                  </w:r>
                </w:p>
              </w:tc>
            </w:tr>
            <w:tr w:rsidR="00EF5C5A" w:rsidTr="00AB7EBD">
              <w:trPr>
                <w:trHeight w:val="187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  <w:tr w:rsidR="00EF5C5A" w:rsidTr="00AB7EBD">
              <w:trPr>
                <w:trHeight w:val="335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tabs>
                      <w:tab w:val="left" w:pos="225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І. </w:t>
                  </w:r>
                  <w:r w:rsidRPr="009E56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 витрат</w:t>
                  </w:r>
                </w:p>
              </w:tc>
            </w:tr>
            <w:tr w:rsidR="00EF5C5A" w:rsidRPr="00324FCD" w:rsidTr="00AB7EBD">
              <w:trPr>
                <w:trHeight w:val="682"/>
              </w:trPr>
              <w:tc>
                <w:tcPr>
                  <w:tcW w:w="426" w:type="dxa"/>
                </w:tcPr>
                <w:p w:rsidR="00EF5C5A" w:rsidRPr="00D02146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1.</w:t>
                  </w:r>
                </w:p>
                <w:p w:rsidR="000A454C" w:rsidRPr="00D02146" w:rsidRDefault="000A454C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087" w:type="dxa"/>
                </w:tcPr>
                <w:p w:rsidR="00EF5C5A" w:rsidRPr="00D02146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Загальний обсяг витрат на реалізацію заходів  Програми</w:t>
                  </w:r>
                </w:p>
              </w:tc>
              <w:tc>
                <w:tcPr>
                  <w:tcW w:w="1330" w:type="dxa"/>
                </w:tcPr>
                <w:p w:rsidR="00EF5C5A" w:rsidRPr="00D02146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тис. грн.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Pr="00D02146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7730,95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Pr="00D02146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462183,6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Pr="00D02146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49887</w:t>
                  </w:r>
                  <w:r w:rsidR="00EF5C5A"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9,6</w:t>
                  </w:r>
                </w:p>
              </w:tc>
              <w:tc>
                <w:tcPr>
                  <w:tcW w:w="1134" w:type="dxa"/>
                </w:tcPr>
                <w:p w:rsidR="00EF5C5A" w:rsidRPr="00D02146" w:rsidRDefault="000A454C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52400</w:t>
                  </w:r>
                  <w:r w:rsidR="00EF5C5A"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Pr="00D02146" w:rsidRDefault="000A454C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56234</w:t>
                  </w:r>
                  <w:r w:rsidR="00EF5C5A" w:rsidRPr="00D0214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1,1</w:t>
                  </w:r>
                </w:p>
              </w:tc>
            </w:tr>
            <w:tr w:rsidR="00EF5C5A" w:rsidTr="00AB7EBD">
              <w:trPr>
                <w:trHeight w:val="274"/>
              </w:trPr>
              <w:tc>
                <w:tcPr>
                  <w:tcW w:w="14742" w:type="dxa"/>
                  <w:gridSpan w:val="14"/>
                </w:tcPr>
                <w:p w:rsidR="00EF5C5A" w:rsidRPr="00DF14FD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ІІ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9E56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продукту</w:t>
                  </w:r>
                </w:p>
              </w:tc>
            </w:tr>
            <w:tr w:rsidR="00EF5C5A" w:rsidTr="00AB7EBD">
              <w:trPr>
                <w:trHeight w:val="51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осіб, які отримають фінансову підтримку  за рахунок державного та обласного бюджету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5150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Pr="00324FCD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5259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5279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5309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фінансову підтримку 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1055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1068</w:t>
                  </w:r>
                </w:p>
              </w:tc>
              <w:tc>
                <w:tcPr>
                  <w:tcW w:w="1134" w:type="dxa"/>
                </w:tcPr>
                <w:p w:rsidR="00EF5C5A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1083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1109</w:t>
                  </w:r>
                </w:p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компенсаційні виплати та допомоги відповідно діючого законодавства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додаткові компенсаційні виплати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253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0257C9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реалізують право на пільговий проїзд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22700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пільги, передбачені діючим законодавством, на житлово-комунальні послуги та послуги </w:t>
                  </w:r>
                  <w:r w:rsidRPr="00DF14F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зв’язку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за рахунок державного та обласного бюджетів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6320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знижку на житлово-комунальні послуги та послуги зв’язку 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966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967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969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із числа окремих категорій громадян, які отримають санаторно-курортне оздоровлення та реабілітаційні послуги за рахунок державного бюджету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111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</w:tr>
            <w:tr w:rsidR="00EF5C5A" w:rsidTr="00AB7EBD">
              <w:trPr>
                <w:trHeight w:val="659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одиниць технічних та інших засобів реабілітації, якими будуть забезпечені особи з інвалідністю та інші громадяни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одиниць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Витрати на безоплатне поховання осіб з інвалідністю внаслідок війни та учасників бойових дій  за рахунок обласного  бюджету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26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ветеранів війни, яким буде зроблено капітальний ремонт житла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 дітей та громадян пільгових категорій, які будуть поздоровлені святковими  подарунками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7087" w:type="dxa"/>
                </w:tcPr>
                <w:p w:rsidR="00EF5C5A" w:rsidRDefault="007E752B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дітей, які будуть перевезені та оздоровлені в дитячих закладах оздоровлення та відпочинку Донецької області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455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дітей-сиріт, дітей позбавлених батьківського піклування  та осіб з їх числа, яким буде виплачена компенсація за рахунок субвенції з державного бюджету за  належні для отримання житлові приміщення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</w:tr>
            <w:tr w:rsidR="00EF5C5A" w:rsidTr="00AB7EBD">
              <w:trPr>
                <w:trHeight w:val="659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 w:rsidR="00087E8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будівель під реконструкцію для створення соціального центру у форматі «Прозорий офіс»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будівель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EF5C5A" w:rsidTr="00AB7EBD">
              <w:trPr>
                <w:trHeight w:val="310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ефективності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фінансової підтримки  за рахунок  державного та обласного бюджету,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 1 раз на рік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1372,9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1646,3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1959,9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2335,2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додаткової матеріальної допомоги  за рахунок бюджету Бахмутської  міської ОТГ,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1 раз на рік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953,7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1107,5</w:t>
                  </w:r>
                </w:p>
              </w:tc>
              <w:tc>
                <w:tcPr>
                  <w:tcW w:w="1134" w:type="dxa"/>
                </w:tcPr>
                <w:p w:rsidR="00EF5C5A" w:rsidRDefault="00324FCD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1361</w:t>
                  </w:r>
                  <w:r w:rsidR="00EF5C5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324FCD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1467</w:t>
                  </w:r>
                  <w:r w:rsidR="00EF5C5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,4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компенсаційних виплат та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допомог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, передбачених діючим законодавством, за рахунок державного та обласного бюджетів,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 щомісячно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1188,2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1263,6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1348,0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1417,8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компенсаційних виплат та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допомог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, передбачених діючим законодавством, за  рахунок Бахмутської  міської ОТГ,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2396,8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3060,95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3157,5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3297,6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 витрат  на пільговий проїзд окремих категорій громадян,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987,5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1701,8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1885,6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2085,6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пільги, передбаченої діючим законодавством, на житлово-комунальні послуги та послуги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язку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за рахунок державного та обласного бюджетів, грн..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щомісячно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262,5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495,3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551,7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602.3</w:t>
                  </w:r>
                </w:p>
              </w:tc>
            </w:tr>
            <w:tr w:rsidR="00EF5C5A" w:rsidTr="00AB7EBD">
              <w:trPr>
                <w:trHeight w:val="982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додаткової знижки на оплату за житлово-комунальні послуги та послуги зв’язку,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397,3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506,9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582,02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644,2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санаторно-курортне оздоровлення окремих категорій громадян та на надання реабілітаційних послуг особам з інвалідністю, грн..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6822,0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5,9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10435,9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12337,2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14569,6</w:t>
                  </w:r>
                </w:p>
              </w:tc>
            </w:tr>
            <w:tr w:rsidR="00EF5C5A" w:rsidTr="00AB7EBD">
              <w:trPr>
                <w:trHeight w:val="401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вартість виготовлення одиниці технічного та іншого  виробу реабілітації,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 одиниця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3310,5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3630,4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3734,2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3764,1</w:t>
                  </w:r>
                </w:p>
              </w:tc>
            </w:tr>
            <w:tr w:rsidR="00EF5C5A" w:rsidTr="00AB7EBD">
              <w:trPr>
                <w:trHeight w:val="47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безоплатне поховання осіб з інвалідністю внаслідок війни та учасників бойових дій за рахунок обласного бюджету, грн.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особа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3833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4543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4937,5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5234,4</w:t>
                  </w:r>
                </w:p>
              </w:tc>
            </w:tr>
            <w:tr w:rsidR="00EF5C5A" w:rsidTr="00AB7EBD">
              <w:trPr>
                <w:trHeight w:val="47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проведення капітального ремонту житла ветеранам війни,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приміщення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42433,3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63100,0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69666,7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76666,7</w:t>
                  </w:r>
                </w:p>
              </w:tc>
            </w:tr>
            <w:tr w:rsidR="00EF5C5A" w:rsidTr="00AB7EBD">
              <w:trPr>
                <w:trHeight w:val="30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витрата на поздоровлення дітей та громадян пільгових категорій, грн.</w:t>
                  </w:r>
                </w:p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261,1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305,7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328,5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338,2</w:t>
                  </w:r>
                </w:p>
              </w:tc>
            </w:tr>
            <w:tr w:rsidR="00EF5C5A" w:rsidTr="00AB7EBD">
              <w:trPr>
                <w:trHeight w:val="126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Розмір грошової компенсації за рахунок субвенції з державного бюджету за  належні для отримання житлові приміщення дітям-сиротам, дітям, позбавленим батьківського піклування та особам з їх числа, тис.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385,8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510,3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510,3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600,0</w:t>
                  </w:r>
                </w:p>
              </w:tc>
            </w:tr>
            <w:tr w:rsidR="00EF5C5A" w:rsidTr="00AB7EBD">
              <w:trPr>
                <w:trHeight w:val="273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IV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Показники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якост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і</w:t>
                  </w:r>
                </w:p>
              </w:tc>
            </w:tr>
            <w:tr w:rsidR="00EF5C5A" w:rsidTr="00AB7EBD">
              <w:trPr>
                <w:trHeight w:val="52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Рівень забезпечення  фінансової  підтримки  окремих категорій громадян  за рахунок Державного та обласного бюджету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101,7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103,1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Рівень забезпечення додаткової  фінансової  підтримки  окремих категорій громадян 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117,2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118,7</w:t>
                  </w:r>
                </w:p>
              </w:tc>
              <w:tc>
                <w:tcPr>
                  <w:tcW w:w="1134" w:type="dxa"/>
                </w:tcPr>
                <w:p w:rsidR="00EF5C5A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120,3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123,2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Рівень  забезпечення  додаткових  пільг на житлово-комунальні послуги окремим категоріям громадян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Покращення стану здоров я окремих категорій громадян шляхом санаторно-курортного оздоровлення та реабілітації  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Покращення стану здоров’я дітей в дитячих закладах оздоровлення та відпочинку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113,8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118,8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125</w:t>
                  </w:r>
                </w:p>
              </w:tc>
            </w:tr>
            <w:tr w:rsidR="00EF5C5A" w:rsidTr="00AB7EBD">
              <w:trPr>
                <w:trHeight w:val="41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Реалізація права на пільговий  проїзд  окремих категорій громадян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8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Організація святкових заходів, вшанування ветеранів, поздоровлення дітей пільгових категорій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25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Сприяння у забезпеченні житлом дітей-сиріт, дітей, позбавлених батьківського піклування та осіб  з їх числа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</w:tbl>
          <w:p w:rsidR="00EF5C5A" w:rsidRPr="00DE337D" w:rsidRDefault="00EF5C5A" w:rsidP="00EF5C5A">
            <w:pPr>
              <w:spacing w:line="218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Додат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ок 2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Показники результативності Програми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до </w:t>
            </w:r>
            <w:r w:rsidRPr="00DE337D"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  <w:lang w:val="uk-UA"/>
              </w:rPr>
              <w:t>Комплексної програми по соціальному захисту окремих категорій громадян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 на 2019-2022 роки, затвердженої рішенням Бахмутської міської ради від 28.11.2018 №6/123-2363,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із внесеними до неї змінами</w:t>
            </w:r>
            <w:r w:rsidR="00DF211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,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підготовлено Управлінням праці та соціального захисту населення  Бахмутської міської ради </w:t>
            </w:r>
          </w:p>
          <w:p w:rsidR="00EF5C5A" w:rsidRPr="00DE337D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Начальник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Управління праці та соціального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І.В.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Сподіна</w:t>
            </w:r>
            <w:proofErr w:type="spellEnd"/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</w:t>
            </w:r>
          </w:p>
          <w:p w:rsidR="00EF5C5A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захисту населення Бахмутської міської ради   </w:t>
            </w:r>
          </w:p>
          <w:p w:rsidR="00EF5C5A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  <w:t xml:space="preserve">     </w:t>
            </w:r>
          </w:p>
          <w:p w:rsidR="00EF5C5A" w:rsidRPr="00DE337D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CC5543" w:rsidRPr="00115957" w:rsidRDefault="00EF5C5A" w:rsidP="002C0BB4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Секретар Бахмутської міської ради     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С.І.</w:t>
            </w:r>
            <w:proofErr w:type="spellStart"/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Кіщенко</w:t>
            </w:r>
            <w:proofErr w:type="spellEnd"/>
          </w:p>
        </w:tc>
      </w:tr>
    </w:tbl>
    <w:p w:rsidR="008E6F04" w:rsidRDefault="008E6F04" w:rsidP="007E113B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  <w:sectPr w:rsidR="008E6F04" w:rsidSect="000257C9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jc w:val="right"/>
        <w:tblLook w:val="00A0"/>
      </w:tblPr>
      <w:tblGrid>
        <w:gridCol w:w="3367"/>
      </w:tblGrid>
      <w:tr w:rsidR="008E6F04" w:rsidRPr="00115957" w:rsidTr="008E6F04">
        <w:trPr>
          <w:jc w:val="right"/>
        </w:trPr>
        <w:tc>
          <w:tcPr>
            <w:tcW w:w="3367" w:type="dxa"/>
          </w:tcPr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Додаток 3 </w:t>
            </w:r>
          </w:p>
          <w:p w:rsidR="00DF2116" w:rsidRDefault="008E6F04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 Комплексної програми по соціальному захисту окреми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х категорій громадян</w:t>
            </w: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на 2019- 2022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роки, затвердженої рішенням Бахмутської міської ради 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</w:p>
          <w:p w:rsidR="008E6F04" w:rsidRDefault="00975A75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від </w:t>
            </w:r>
            <w:r w:rsidR="008E6F04"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28.11.2018 №6/123-2363</w:t>
            </w:r>
            <w:r w:rsid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,</w:t>
            </w:r>
          </w:p>
          <w:p w:rsidR="00DF2116" w:rsidRPr="00115957" w:rsidRDefault="00DF2116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із змінами</w:t>
            </w:r>
          </w:p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(</w:t>
            </w: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Додаток 3</w:t>
            </w: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у  редакції рішення</w:t>
            </w: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Бахмутської міської ради</w:t>
            </w:r>
          </w:p>
          <w:p w:rsidR="008E6F04" w:rsidRPr="00115957" w:rsidRDefault="00722AF6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27.05</w:t>
            </w:r>
            <w:r w:rsidR="00EF3A32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.2020 №6/</w:t>
            </w:r>
            <w:r w:rsidR="00A82E5A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142</w:t>
            </w:r>
            <w:r w:rsidR="00A8115A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-</w:t>
            </w:r>
            <w:r w:rsidR="00A82E5A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2998</w:t>
            </w:r>
            <w:r w:rsidR="00EF3A32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="008E6F04" w:rsidRPr="00115957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)</w:t>
            </w:r>
          </w:p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</w:tr>
    </w:tbl>
    <w:p w:rsidR="008E6F04" w:rsidRDefault="008E6F04" w:rsidP="008E6F0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РЕСУРСНЕ  ЗАБЕЗПЕЧЕННЯ  ПРОГРАМИ</w:t>
      </w:r>
    </w:p>
    <w:p w:rsidR="008E6F04" w:rsidRPr="00EA4A10" w:rsidRDefault="008E6F04" w:rsidP="008E6F0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(</w:t>
      </w:r>
      <w:proofErr w:type="spellStart"/>
      <w:r w:rsidRPr="00EA4A1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A4A1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276"/>
        <w:gridCol w:w="1276"/>
        <w:gridCol w:w="1417"/>
        <w:gridCol w:w="1559"/>
        <w:gridCol w:w="1560"/>
      </w:tblGrid>
      <w:tr w:rsidR="008E6F04" w:rsidRPr="00115957" w:rsidTr="008E6F04">
        <w:trPr>
          <w:trHeight w:val="204"/>
        </w:trPr>
        <w:tc>
          <w:tcPr>
            <w:tcW w:w="2518" w:type="dxa"/>
            <w:vMerge w:val="restart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Всього </w:t>
            </w:r>
          </w:p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витрат на виконання програми</w:t>
            </w:r>
          </w:p>
        </w:tc>
      </w:tr>
      <w:tr w:rsidR="008E6F04" w:rsidRPr="00115957" w:rsidTr="008E6F04">
        <w:trPr>
          <w:trHeight w:val="366"/>
        </w:trPr>
        <w:tc>
          <w:tcPr>
            <w:tcW w:w="2518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</w:t>
            </w: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8E6F04" w:rsidRPr="00115957" w:rsidTr="008E6F04">
        <w:trPr>
          <w:trHeight w:val="431"/>
        </w:trPr>
        <w:tc>
          <w:tcPr>
            <w:tcW w:w="2518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8E6F04" w:rsidRPr="00EF3A32" w:rsidTr="008E6F04">
        <w:trPr>
          <w:trHeight w:val="1192"/>
        </w:trPr>
        <w:tc>
          <w:tcPr>
            <w:tcW w:w="2518" w:type="dxa"/>
          </w:tcPr>
          <w:p w:rsidR="008E6F04" w:rsidRPr="000257C9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 ресурсів</w:t>
            </w:r>
          </w:p>
          <w:p w:rsidR="008E6F04" w:rsidRPr="000257C9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всього,</w:t>
            </w:r>
          </w:p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462183,6</w:t>
            </w:r>
          </w:p>
        </w:tc>
        <w:tc>
          <w:tcPr>
            <w:tcW w:w="1276" w:type="dxa"/>
          </w:tcPr>
          <w:p w:rsidR="008E6F04" w:rsidRPr="000257C9" w:rsidRDefault="00EF3A32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49887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9,6</w:t>
            </w:r>
          </w:p>
        </w:tc>
        <w:tc>
          <w:tcPr>
            <w:tcW w:w="1417" w:type="dxa"/>
          </w:tcPr>
          <w:p w:rsidR="008E6F04" w:rsidRPr="000257C9" w:rsidRDefault="00A82E5A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52400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2,5</w:t>
            </w:r>
          </w:p>
        </w:tc>
        <w:tc>
          <w:tcPr>
            <w:tcW w:w="1559" w:type="dxa"/>
          </w:tcPr>
          <w:p w:rsidR="008E6F04" w:rsidRPr="000257C9" w:rsidRDefault="00A82E5A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56234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1,1</w:t>
            </w:r>
          </w:p>
        </w:tc>
        <w:tc>
          <w:tcPr>
            <w:tcW w:w="1560" w:type="dxa"/>
          </w:tcPr>
          <w:p w:rsidR="008E6F04" w:rsidRPr="000257C9" w:rsidRDefault="00A82E5A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204740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6,8</w:t>
            </w:r>
          </w:p>
        </w:tc>
      </w:tr>
      <w:tr w:rsidR="008E6F04" w:rsidRPr="00EF3A32" w:rsidTr="008E6F04">
        <w:trPr>
          <w:trHeight w:val="605"/>
        </w:trPr>
        <w:tc>
          <w:tcPr>
            <w:tcW w:w="2518" w:type="dxa"/>
          </w:tcPr>
          <w:p w:rsidR="008E6F04" w:rsidRPr="000257C9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389779,1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431714,7</w:t>
            </w:r>
          </w:p>
        </w:tc>
        <w:tc>
          <w:tcPr>
            <w:tcW w:w="1417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465952,6</w:t>
            </w:r>
          </w:p>
        </w:tc>
        <w:tc>
          <w:tcPr>
            <w:tcW w:w="1559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498349,7</w:t>
            </w:r>
          </w:p>
        </w:tc>
        <w:tc>
          <w:tcPr>
            <w:tcW w:w="1560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1785796,1</w:t>
            </w:r>
          </w:p>
        </w:tc>
      </w:tr>
      <w:tr w:rsidR="008E6F04" w:rsidRPr="00EF3A32" w:rsidTr="008E6F04">
        <w:trPr>
          <w:trHeight w:val="605"/>
        </w:trPr>
        <w:tc>
          <w:tcPr>
            <w:tcW w:w="2518" w:type="dxa"/>
          </w:tcPr>
          <w:p w:rsidR="008E6F04" w:rsidRPr="000257C9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35132,2</w:t>
            </w:r>
          </w:p>
        </w:tc>
        <w:tc>
          <w:tcPr>
            <w:tcW w:w="1276" w:type="dxa"/>
          </w:tcPr>
          <w:p w:rsidR="008E6F04" w:rsidRPr="000257C9" w:rsidRDefault="00EF3A32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11140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</w:t>
            </w:r>
          </w:p>
        </w:tc>
        <w:tc>
          <w:tcPr>
            <w:tcW w:w="1417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2921,0</w:t>
            </w:r>
          </w:p>
        </w:tc>
        <w:tc>
          <w:tcPr>
            <w:tcW w:w="1559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3153,5</w:t>
            </w:r>
          </w:p>
        </w:tc>
        <w:tc>
          <w:tcPr>
            <w:tcW w:w="1560" w:type="dxa"/>
          </w:tcPr>
          <w:p w:rsidR="008E6F04" w:rsidRPr="000257C9" w:rsidRDefault="00EF3A32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52347,5</w:t>
            </w:r>
          </w:p>
        </w:tc>
      </w:tr>
      <w:tr w:rsidR="008E6F04" w:rsidRPr="00EF3A32" w:rsidTr="008E6F04">
        <w:trPr>
          <w:trHeight w:val="631"/>
        </w:trPr>
        <w:tc>
          <w:tcPr>
            <w:tcW w:w="2518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37229,8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417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59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60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37229,8</w:t>
            </w:r>
          </w:p>
        </w:tc>
      </w:tr>
      <w:tr w:rsidR="008E6F04" w:rsidRPr="00EF3A32" w:rsidTr="008E6F04">
        <w:trPr>
          <w:trHeight w:val="1472"/>
        </w:trPr>
        <w:tc>
          <w:tcPr>
            <w:tcW w:w="2518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бюджет </w:t>
            </w:r>
            <w:proofErr w:type="spellStart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Бахмутсь-кої</w:t>
            </w:r>
            <w:proofErr w:type="spellEnd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об</w:t>
            </w:r>
            <w:r w:rsidRPr="000257C9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proofErr w:type="spellStart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єд-наної</w:t>
            </w:r>
            <w:proofErr w:type="spellEnd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територіаль-ної</w:t>
            </w:r>
            <w:proofErr w:type="spellEnd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громади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55653,4</w:t>
            </w:r>
          </w:p>
        </w:tc>
        <w:tc>
          <w:tcPr>
            <w:tcW w:w="1417" w:type="dxa"/>
          </w:tcPr>
          <w:p w:rsidR="008E6F04" w:rsidRPr="000257C9" w:rsidRDefault="00A82E5A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5472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6,1</w:t>
            </w:r>
          </w:p>
        </w:tc>
        <w:tc>
          <w:tcPr>
            <w:tcW w:w="1559" w:type="dxa"/>
          </w:tcPr>
          <w:p w:rsidR="008E6F04" w:rsidRPr="000257C9" w:rsidRDefault="00A82E5A" w:rsidP="00EF3A3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6040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2,3</w:t>
            </w:r>
          </w:p>
        </w:tc>
        <w:tc>
          <w:tcPr>
            <w:tcW w:w="1560" w:type="dxa"/>
          </w:tcPr>
          <w:p w:rsidR="008E6F04" w:rsidRPr="000257C9" w:rsidRDefault="00A82E5A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170781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</w:t>
            </w:r>
          </w:p>
        </w:tc>
      </w:tr>
      <w:tr w:rsidR="008E6F04" w:rsidRPr="00EF3A32" w:rsidTr="008E6F04">
        <w:trPr>
          <w:trHeight w:val="70"/>
        </w:trPr>
        <w:tc>
          <w:tcPr>
            <w:tcW w:w="2518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інші кошти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42,5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370,7</w:t>
            </w:r>
          </w:p>
        </w:tc>
        <w:tc>
          <w:tcPr>
            <w:tcW w:w="1417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402,8</w:t>
            </w:r>
          </w:p>
        </w:tc>
        <w:tc>
          <w:tcPr>
            <w:tcW w:w="1559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435,6</w:t>
            </w:r>
          </w:p>
        </w:tc>
        <w:tc>
          <w:tcPr>
            <w:tcW w:w="1560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1251,6</w:t>
            </w:r>
          </w:p>
        </w:tc>
      </w:tr>
    </w:tbl>
    <w:p w:rsidR="008E6F04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Додаток 3 «Ресурсне забезпечення Програми»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до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>Комплексної програми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 по соціальному захисту окремих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категорій громадян </w:t>
      </w:r>
      <w:r w:rsidR="00DF2116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 2019-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2022 </w:t>
      </w:r>
      <w:r w:rsidR="00DF2116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роки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 затвердженої рішенням Бахмутської міської ради від 28.11.2018</w:t>
      </w:r>
      <w:r w:rsidR="00E97EA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№6/123-2363</w:t>
      </w:r>
      <w:r w:rsidR="00EF3A3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(із  змінами)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підготовлено Управлінням праці та соціального захисту населення  Бахмутської міської ради </w:t>
      </w:r>
    </w:p>
    <w:p w:rsidR="008E6F04" w:rsidRPr="00DE337D" w:rsidRDefault="008E6F04" w:rsidP="00DF2116">
      <w:pPr>
        <w:pStyle w:val="a7"/>
        <w:spacing w:line="240" w:lineRule="atLeast"/>
        <w:rPr>
          <w:rFonts w:ascii="Times New Roman" w:hAnsi="Times New Roman" w:cs="Times New Roman"/>
          <w:sz w:val="20"/>
          <w:szCs w:val="20"/>
          <w:lang w:val="uk-UA"/>
        </w:rPr>
      </w:pPr>
    </w:p>
    <w:p w:rsidR="008E6F04" w:rsidRP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Начальник Управління праці                                                       І.В.</w:t>
      </w:r>
      <w:proofErr w:type="spellStart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Сподіна</w:t>
      </w:r>
      <w:proofErr w:type="spellEnd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                       </w:t>
      </w:r>
    </w:p>
    <w:p w:rsidR="008E6F04" w:rsidRP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та соціального  захисту  населення                                     </w:t>
      </w:r>
    </w:p>
    <w:p w:rsid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Бахмутської міської ради         </w:t>
      </w:r>
    </w:p>
    <w:p w:rsidR="000257C9" w:rsidRDefault="000257C9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</w:p>
    <w:p w:rsidR="00CC5543" w:rsidRDefault="008E6F04" w:rsidP="000257C9">
      <w:pPr>
        <w:spacing w:after="0" w:line="240" w:lineRule="atLeast"/>
        <w:jc w:val="both"/>
        <w:rPr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Секретар Бахмутської міської ради                                              С.І.</w:t>
      </w:r>
      <w:proofErr w:type="spellStart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Кіщенко</w:t>
      </w:r>
      <w:proofErr w:type="spellEnd"/>
    </w:p>
    <w:sectPr w:rsidR="00CC5543" w:rsidSect="000257C9">
      <w:headerReference w:type="default" r:id="rId10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AF6" w:rsidRDefault="00722AF6" w:rsidP="00B812DF">
      <w:pPr>
        <w:spacing w:after="0" w:line="240" w:lineRule="auto"/>
      </w:pPr>
      <w:r>
        <w:separator/>
      </w:r>
    </w:p>
  </w:endnote>
  <w:endnote w:type="continuationSeparator" w:id="1">
    <w:p w:rsidR="00722AF6" w:rsidRDefault="00722AF6" w:rsidP="00B8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AF6" w:rsidRDefault="00722AF6" w:rsidP="00B812DF">
      <w:pPr>
        <w:spacing w:after="0" w:line="240" w:lineRule="auto"/>
      </w:pPr>
      <w:r>
        <w:separator/>
      </w:r>
    </w:p>
  </w:footnote>
  <w:footnote w:type="continuationSeparator" w:id="1">
    <w:p w:rsidR="00722AF6" w:rsidRDefault="00722AF6" w:rsidP="00B8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AF6" w:rsidRDefault="00722AF6">
    <w:pPr>
      <w:pStyle w:val="a5"/>
      <w:jc w:val="center"/>
    </w:pPr>
    <w:fldSimple w:instr=" PAGE   \* MERGEFORMAT ">
      <w:r w:rsidR="000533EE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AF6" w:rsidRDefault="00722AF6" w:rsidP="00F37943">
    <w:pPr>
      <w:pStyle w:val="a5"/>
      <w:framePr w:wrap="auto" w:vAnchor="text" w:hAnchor="margin" w:xAlign="center" w:y="1"/>
      <w:rPr>
        <w:rStyle w:val="ab"/>
      </w:rPr>
    </w:pPr>
  </w:p>
  <w:p w:rsidR="00722AF6" w:rsidRDefault="00722AF6">
    <w:pPr>
      <w:pStyle w:val="a5"/>
      <w:jc w:val="center"/>
    </w:pPr>
  </w:p>
  <w:p w:rsidR="00722AF6" w:rsidRDefault="00722A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857"/>
    <w:multiLevelType w:val="multilevel"/>
    <w:tmpl w:val="B6AEE7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1BF24709"/>
    <w:multiLevelType w:val="hybridMultilevel"/>
    <w:tmpl w:val="38964D02"/>
    <w:lvl w:ilvl="0" w:tplc="F160969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551E5"/>
    <w:multiLevelType w:val="hybridMultilevel"/>
    <w:tmpl w:val="4DE00F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B1FC3"/>
    <w:multiLevelType w:val="multilevel"/>
    <w:tmpl w:val="88E8AAC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4">
    <w:nsid w:val="56EE1E53"/>
    <w:multiLevelType w:val="hybridMultilevel"/>
    <w:tmpl w:val="631A5D3A"/>
    <w:lvl w:ilvl="0" w:tplc="E1586D48">
      <w:start w:val="5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5C574CD3"/>
    <w:multiLevelType w:val="hybridMultilevel"/>
    <w:tmpl w:val="7A8E1F46"/>
    <w:lvl w:ilvl="0" w:tplc="AA9A7A4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224191A"/>
    <w:multiLevelType w:val="hybridMultilevel"/>
    <w:tmpl w:val="82F80CF4"/>
    <w:lvl w:ilvl="0" w:tplc="6C50DC4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B1237"/>
    <w:multiLevelType w:val="hybridMultilevel"/>
    <w:tmpl w:val="BBA06CA2"/>
    <w:lvl w:ilvl="0" w:tplc="8AA6A0BC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219"/>
        </w:tabs>
        <w:ind w:left="-141"/>
      </w:pPr>
    </w:lvl>
    <w:lvl w:ilvl="2" w:tplc="BDA4D00C">
      <w:numFmt w:val="none"/>
      <w:lvlText w:val=""/>
      <w:lvlJc w:val="left"/>
      <w:pPr>
        <w:tabs>
          <w:tab w:val="num" w:pos="219"/>
        </w:tabs>
        <w:ind w:left="-141"/>
      </w:pPr>
    </w:lvl>
    <w:lvl w:ilvl="3" w:tplc="E63C33B0">
      <w:numFmt w:val="none"/>
      <w:lvlText w:val=""/>
      <w:lvlJc w:val="left"/>
      <w:pPr>
        <w:tabs>
          <w:tab w:val="num" w:pos="219"/>
        </w:tabs>
        <w:ind w:left="-141"/>
      </w:pPr>
    </w:lvl>
    <w:lvl w:ilvl="4" w:tplc="3FF86FB6">
      <w:numFmt w:val="none"/>
      <w:lvlText w:val=""/>
      <w:lvlJc w:val="left"/>
      <w:pPr>
        <w:tabs>
          <w:tab w:val="num" w:pos="219"/>
        </w:tabs>
        <w:ind w:left="-141"/>
      </w:pPr>
    </w:lvl>
    <w:lvl w:ilvl="5" w:tplc="03E0F7F0">
      <w:numFmt w:val="none"/>
      <w:lvlText w:val=""/>
      <w:lvlJc w:val="left"/>
      <w:pPr>
        <w:tabs>
          <w:tab w:val="num" w:pos="219"/>
        </w:tabs>
        <w:ind w:left="-141"/>
      </w:pPr>
    </w:lvl>
    <w:lvl w:ilvl="6" w:tplc="619E7F9A">
      <w:numFmt w:val="none"/>
      <w:lvlText w:val=""/>
      <w:lvlJc w:val="left"/>
      <w:pPr>
        <w:tabs>
          <w:tab w:val="num" w:pos="219"/>
        </w:tabs>
        <w:ind w:left="-141"/>
      </w:pPr>
    </w:lvl>
    <w:lvl w:ilvl="7" w:tplc="D512BB50">
      <w:numFmt w:val="none"/>
      <w:lvlText w:val=""/>
      <w:lvlJc w:val="left"/>
      <w:pPr>
        <w:tabs>
          <w:tab w:val="num" w:pos="219"/>
        </w:tabs>
        <w:ind w:left="-141"/>
      </w:pPr>
    </w:lvl>
    <w:lvl w:ilvl="8" w:tplc="5FC68B02">
      <w:numFmt w:val="none"/>
      <w:lvlText w:val=""/>
      <w:lvlJc w:val="left"/>
      <w:pPr>
        <w:tabs>
          <w:tab w:val="num" w:pos="219"/>
        </w:tabs>
        <w:ind w:left="-141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E04"/>
    <w:rsid w:val="00010BFC"/>
    <w:rsid w:val="00011B35"/>
    <w:rsid w:val="00013606"/>
    <w:rsid w:val="000257C9"/>
    <w:rsid w:val="0002683A"/>
    <w:rsid w:val="00026C97"/>
    <w:rsid w:val="00037648"/>
    <w:rsid w:val="000444F7"/>
    <w:rsid w:val="000533EE"/>
    <w:rsid w:val="00061330"/>
    <w:rsid w:val="00087E81"/>
    <w:rsid w:val="000A454C"/>
    <w:rsid w:val="000C294F"/>
    <w:rsid w:val="00115957"/>
    <w:rsid w:val="00116956"/>
    <w:rsid w:val="0013778D"/>
    <w:rsid w:val="0016099A"/>
    <w:rsid w:val="00167B8E"/>
    <w:rsid w:val="001716B5"/>
    <w:rsid w:val="001D0B98"/>
    <w:rsid w:val="001D289D"/>
    <w:rsid w:val="001D4078"/>
    <w:rsid w:val="001E249D"/>
    <w:rsid w:val="00204FCC"/>
    <w:rsid w:val="00222468"/>
    <w:rsid w:val="00224519"/>
    <w:rsid w:val="002326CE"/>
    <w:rsid w:val="0026559E"/>
    <w:rsid w:val="0027182C"/>
    <w:rsid w:val="0027408E"/>
    <w:rsid w:val="00275749"/>
    <w:rsid w:val="002952B8"/>
    <w:rsid w:val="002A1C47"/>
    <w:rsid w:val="002B2CEC"/>
    <w:rsid w:val="002C0BB4"/>
    <w:rsid w:val="002D7F56"/>
    <w:rsid w:val="002F196B"/>
    <w:rsid w:val="00324FCD"/>
    <w:rsid w:val="00332338"/>
    <w:rsid w:val="0034237E"/>
    <w:rsid w:val="0038687C"/>
    <w:rsid w:val="003879D3"/>
    <w:rsid w:val="00387FE5"/>
    <w:rsid w:val="00394819"/>
    <w:rsid w:val="003B3FBA"/>
    <w:rsid w:val="003F29AF"/>
    <w:rsid w:val="003F7279"/>
    <w:rsid w:val="0040688F"/>
    <w:rsid w:val="00406DC8"/>
    <w:rsid w:val="00414C5A"/>
    <w:rsid w:val="00420B29"/>
    <w:rsid w:val="004226A4"/>
    <w:rsid w:val="00431A89"/>
    <w:rsid w:val="004343D3"/>
    <w:rsid w:val="00443DA5"/>
    <w:rsid w:val="00457BB1"/>
    <w:rsid w:val="00482B92"/>
    <w:rsid w:val="00503917"/>
    <w:rsid w:val="00505840"/>
    <w:rsid w:val="00514C98"/>
    <w:rsid w:val="00523C4B"/>
    <w:rsid w:val="005445A5"/>
    <w:rsid w:val="005455D5"/>
    <w:rsid w:val="005507C7"/>
    <w:rsid w:val="005533FE"/>
    <w:rsid w:val="0055379A"/>
    <w:rsid w:val="00582832"/>
    <w:rsid w:val="005A50F2"/>
    <w:rsid w:val="005E68AC"/>
    <w:rsid w:val="005F4474"/>
    <w:rsid w:val="005F6875"/>
    <w:rsid w:val="00654508"/>
    <w:rsid w:val="006569EC"/>
    <w:rsid w:val="006801C1"/>
    <w:rsid w:val="00684E0E"/>
    <w:rsid w:val="006879C1"/>
    <w:rsid w:val="006E2F30"/>
    <w:rsid w:val="006F040E"/>
    <w:rsid w:val="00716E2E"/>
    <w:rsid w:val="00722AF6"/>
    <w:rsid w:val="00724CF0"/>
    <w:rsid w:val="007344E6"/>
    <w:rsid w:val="00746AA2"/>
    <w:rsid w:val="007519D4"/>
    <w:rsid w:val="00777CE3"/>
    <w:rsid w:val="00785531"/>
    <w:rsid w:val="00790221"/>
    <w:rsid w:val="007A763C"/>
    <w:rsid w:val="007D19B4"/>
    <w:rsid w:val="007E113B"/>
    <w:rsid w:val="007E752B"/>
    <w:rsid w:val="007F5191"/>
    <w:rsid w:val="008026F4"/>
    <w:rsid w:val="0080760D"/>
    <w:rsid w:val="00826D87"/>
    <w:rsid w:val="008434AD"/>
    <w:rsid w:val="00852994"/>
    <w:rsid w:val="00865D62"/>
    <w:rsid w:val="008968A6"/>
    <w:rsid w:val="008C3297"/>
    <w:rsid w:val="008E652B"/>
    <w:rsid w:val="008E6F04"/>
    <w:rsid w:val="009057C7"/>
    <w:rsid w:val="00915C2A"/>
    <w:rsid w:val="00917091"/>
    <w:rsid w:val="00933879"/>
    <w:rsid w:val="00936637"/>
    <w:rsid w:val="00940931"/>
    <w:rsid w:val="0094097D"/>
    <w:rsid w:val="0097343B"/>
    <w:rsid w:val="00975A75"/>
    <w:rsid w:val="009A0EF3"/>
    <w:rsid w:val="009B3789"/>
    <w:rsid w:val="009C01CC"/>
    <w:rsid w:val="009C6F87"/>
    <w:rsid w:val="009E7E04"/>
    <w:rsid w:val="00A22D41"/>
    <w:rsid w:val="00A3072C"/>
    <w:rsid w:val="00A8115A"/>
    <w:rsid w:val="00A82A9C"/>
    <w:rsid w:val="00A82E5A"/>
    <w:rsid w:val="00A90E16"/>
    <w:rsid w:val="00A915D2"/>
    <w:rsid w:val="00AB6012"/>
    <w:rsid w:val="00AB7EBD"/>
    <w:rsid w:val="00AE70DF"/>
    <w:rsid w:val="00B07913"/>
    <w:rsid w:val="00B24CD5"/>
    <w:rsid w:val="00B46AA4"/>
    <w:rsid w:val="00B522E2"/>
    <w:rsid w:val="00B60B9F"/>
    <w:rsid w:val="00B66B92"/>
    <w:rsid w:val="00B70E2D"/>
    <w:rsid w:val="00B812DF"/>
    <w:rsid w:val="00B861A2"/>
    <w:rsid w:val="00B92936"/>
    <w:rsid w:val="00BB7AB5"/>
    <w:rsid w:val="00BD4CFF"/>
    <w:rsid w:val="00BD5C2E"/>
    <w:rsid w:val="00BD6D68"/>
    <w:rsid w:val="00BE3234"/>
    <w:rsid w:val="00C07478"/>
    <w:rsid w:val="00C175C4"/>
    <w:rsid w:val="00C26AFF"/>
    <w:rsid w:val="00C32E4E"/>
    <w:rsid w:val="00C57493"/>
    <w:rsid w:val="00C83811"/>
    <w:rsid w:val="00CC2F0F"/>
    <w:rsid w:val="00CC5543"/>
    <w:rsid w:val="00CC6657"/>
    <w:rsid w:val="00D02146"/>
    <w:rsid w:val="00D05EA4"/>
    <w:rsid w:val="00D33F33"/>
    <w:rsid w:val="00D41AB5"/>
    <w:rsid w:val="00D528ED"/>
    <w:rsid w:val="00D72520"/>
    <w:rsid w:val="00DB4A57"/>
    <w:rsid w:val="00DC3D3A"/>
    <w:rsid w:val="00DD54B3"/>
    <w:rsid w:val="00DD6C8D"/>
    <w:rsid w:val="00DE337D"/>
    <w:rsid w:val="00DF2116"/>
    <w:rsid w:val="00DF356C"/>
    <w:rsid w:val="00DF60C5"/>
    <w:rsid w:val="00DF6A73"/>
    <w:rsid w:val="00E2185D"/>
    <w:rsid w:val="00E415A9"/>
    <w:rsid w:val="00E424A1"/>
    <w:rsid w:val="00E71765"/>
    <w:rsid w:val="00E80F8B"/>
    <w:rsid w:val="00E91078"/>
    <w:rsid w:val="00E93488"/>
    <w:rsid w:val="00E97EAE"/>
    <w:rsid w:val="00EA3558"/>
    <w:rsid w:val="00EA4A10"/>
    <w:rsid w:val="00EB0D16"/>
    <w:rsid w:val="00EB1101"/>
    <w:rsid w:val="00EC1638"/>
    <w:rsid w:val="00EC5369"/>
    <w:rsid w:val="00EE2CBB"/>
    <w:rsid w:val="00EF16FA"/>
    <w:rsid w:val="00EF3A32"/>
    <w:rsid w:val="00EF5C5A"/>
    <w:rsid w:val="00F248DD"/>
    <w:rsid w:val="00F32EA2"/>
    <w:rsid w:val="00F37943"/>
    <w:rsid w:val="00F732DF"/>
    <w:rsid w:val="00F9000E"/>
    <w:rsid w:val="00F9244B"/>
    <w:rsid w:val="00FB79C5"/>
    <w:rsid w:val="00FE22F4"/>
    <w:rsid w:val="00FE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DF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9E7E0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E7E04"/>
    <w:rPr>
      <w:rFonts w:ascii="Cambria" w:hAnsi="Cambria" w:cs="Cambria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9E7E04"/>
    <w:pPr>
      <w:ind w:left="720"/>
    </w:pPr>
    <w:rPr>
      <w:lang w:eastAsia="en-US"/>
    </w:rPr>
  </w:style>
  <w:style w:type="paragraph" w:styleId="a4">
    <w:name w:val="Normal (Web)"/>
    <w:basedOn w:val="a"/>
    <w:uiPriority w:val="99"/>
    <w:rsid w:val="009E7E04"/>
    <w:pPr>
      <w:spacing w:before="100" w:beforeAutospacing="1" w:after="100" w:afterAutospacing="1" w:line="240" w:lineRule="auto"/>
    </w:pPr>
    <w:rPr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9E7E0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9E7E04"/>
    <w:rPr>
      <w:rFonts w:ascii="Calibri" w:hAnsi="Calibri" w:cs="Calibri"/>
      <w:sz w:val="24"/>
      <w:szCs w:val="24"/>
    </w:rPr>
  </w:style>
  <w:style w:type="paragraph" w:styleId="a7">
    <w:name w:val="No Spacing"/>
    <w:link w:val="a8"/>
    <w:uiPriority w:val="99"/>
    <w:qFormat/>
    <w:rsid w:val="009E7E04"/>
    <w:rPr>
      <w:rFonts w:cs="Calibri"/>
      <w:sz w:val="22"/>
      <w:szCs w:val="22"/>
    </w:rPr>
  </w:style>
  <w:style w:type="paragraph" w:styleId="a9">
    <w:name w:val="Body Text Indent"/>
    <w:basedOn w:val="a"/>
    <w:link w:val="aa"/>
    <w:uiPriority w:val="99"/>
    <w:semiHidden/>
    <w:rsid w:val="009E7E0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E7E04"/>
    <w:rPr>
      <w:rFonts w:ascii="Calibri" w:hAnsi="Calibri" w:cs="Calibri"/>
    </w:rPr>
  </w:style>
  <w:style w:type="character" w:styleId="ab">
    <w:name w:val="page number"/>
    <w:basedOn w:val="a0"/>
    <w:uiPriority w:val="99"/>
    <w:rsid w:val="009E7E04"/>
  </w:style>
  <w:style w:type="character" w:customStyle="1" w:styleId="a8">
    <w:name w:val="Без интервала Знак"/>
    <w:basedOn w:val="a0"/>
    <w:link w:val="a7"/>
    <w:uiPriority w:val="99"/>
    <w:locked/>
    <w:rsid w:val="009E7E04"/>
    <w:rPr>
      <w:rFonts w:cs="Calibri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9E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E7E04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semiHidden/>
    <w:unhideWhenUsed/>
    <w:rsid w:val="00B522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522E2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60FD8-04A0-4CAB-90C6-B22F1D3CB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8</Pages>
  <Words>1676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13105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71</cp:revision>
  <cp:lastPrinted>2020-05-27T13:43:00Z</cp:lastPrinted>
  <dcterms:created xsi:type="dcterms:W3CDTF">2019-09-13T13:34:00Z</dcterms:created>
  <dcterms:modified xsi:type="dcterms:W3CDTF">2020-05-27T13:57:00Z</dcterms:modified>
</cp:coreProperties>
</file>