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9BB" w:rsidRDefault="00A259BB" w:rsidP="00A259BB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56D811EB" wp14:editId="3A3442EE">
            <wp:extent cx="483235" cy="621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9BB" w:rsidRDefault="00A259BB" w:rsidP="00A259BB">
      <w:pPr>
        <w:jc w:val="center"/>
        <w:rPr>
          <w:b/>
          <w:bCs/>
          <w:sz w:val="32"/>
          <w:szCs w:val="32"/>
          <w:lang w:val="uk-UA"/>
        </w:rPr>
      </w:pPr>
    </w:p>
    <w:p w:rsidR="00A259BB" w:rsidRDefault="00A259BB" w:rsidP="00A259B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A259BB" w:rsidRDefault="00A259BB" w:rsidP="00A259BB">
      <w:pPr>
        <w:jc w:val="center"/>
        <w:rPr>
          <w:b/>
          <w:bCs/>
          <w:sz w:val="32"/>
          <w:szCs w:val="32"/>
          <w:lang w:val="uk-UA"/>
        </w:rPr>
      </w:pPr>
    </w:p>
    <w:p w:rsidR="00A259BB" w:rsidRDefault="00A259BB" w:rsidP="00A259B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A259BB" w:rsidRDefault="00A259BB" w:rsidP="00A259BB">
      <w:pPr>
        <w:jc w:val="center"/>
        <w:rPr>
          <w:b/>
          <w:bCs/>
          <w:sz w:val="36"/>
          <w:szCs w:val="36"/>
          <w:lang w:val="uk-UA"/>
        </w:rPr>
      </w:pPr>
    </w:p>
    <w:p w:rsidR="00A259BB" w:rsidRDefault="00A259BB" w:rsidP="00A259BB">
      <w:pPr>
        <w:pStyle w:val="2"/>
        <w:rPr>
          <w:sz w:val="40"/>
          <w:szCs w:val="40"/>
          <w:lang w:val="uk-UA"/>
        </w:rPr>
      </w:pPr>
      <w:r>
        <w:rPr>
          <w:color w:val="FF0000"/>
          <w:sz w:val="40"/>
          <w:szCs w:val="40"/>
          <w:lang w:val="uk-UA"/>
        </w:rPr>
        <w:t xml:space="preserve">   </w:t>
      </w:r>
      <w:r>
        <w:rPr>
          <w:sz w:val="40"/>
          <w:szCs w:val="40"/>
          <w:lang w:val="uk-UA"/>
        </w:rPr>
        <w:t xml:space="preserve"> 4 СЕСІЯ  7 СКЛИКАННЯ</w:t>
      </w:r>
    </w:p>
    <w:p w:rsidR="00A259BB" w:rsidRPr="003517E8" w:rsidRDefault="00A259BB" w:rsidP="00A259BB">
      <w:pPr>
        <w:jc w:val="center"/>
        <w:rPr>
          <w:b/>
          <w:bCs/>
          <w:sz w:val="20"/>
          <w:szCs w:val="20"/>
          <w:lang w:val="uk-UA"/>
        </w:rPr>
      </w:pPr>
    </w:p>
    <w:p w:rsidR="00A259BB" w:rsidRDefault="00A259BB" w:rsidP="00A259B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A259BB" w:rsidRDefault="00A259BB" w:rsidP="00A259BB">
      <w:pPr>
        <w:jc w:val="center"/>
        <w:rPr>
          <w:b/>
          <w:bCs/>
          <w:sz w:val="28"/>
          <w:szCs w:val="28"/>
          <w:lang w:val="uk-UA"/>
        </w:rPr>
      </w:pPr>
    </w:p>
    <w:p w:rsidR="00A259BB" w:rsidRDefault="00A259BB" w:rsidP="00A259BB">
      <w:pPr>
        <w:jc w:val="center"/>
        <w:rPr>
          <w:b/>
          <w:bCs/>
          <w:sz w:val="28"/>
          <w:szCs w:val="28"/>
          <w:lang w:val="uk-UA"/>
        </w:rPr>
      </w:pPr>
    </w:p>
    <w:p w:rsidR="00A259BB" w:rsidRPr="00A83F7D" w:rsidRDefault="00CD23C2" w:rsidP="00A259BB">
      <w:r>
        <w:rPr>
          <w:lang w:val="uk-UA"/>
        </w:rPr>
        <w:t>27</w:t>
      </w:r>
      <w:r w:rsidR="00A259BB">
        <w:rPr>
          <w:lang w:val="uk-UA"/>
        </w:rPr>
        <w:t>.01.2021 № 7/4-</w:t>
      </w:r>
      <w:r w:rsidR="000D44B4">
        <w:rPr>
          <w:lang w:val="uk-UA"/>
        </w:rPr>
        <w:t>102</w:t>
      </w:r>
    </w:p>
    <w:p w:rsidR="00A259BB" w:rsidRDefault="00A259BB" w:rsidP="00A259BB">
      <w:pPr>
        <w:rPr>
          <w:lang w:val="uk-UA"/>
        </w:rPr>
      </w:pPr>
      <w:r>
        <w:rPr>
          <w:lang w:val="uk-UA"/>
        </w:rPr>
        <w:t>м. Бахмут</w:t>
      </w:r>
    </w:p>
    <w:p w:rsidR="00A259BB" w:rsidRDefault="00A259BB" w:rsidP="00A259BB">
      <w:pPr>
        <w:rPr>
          <w:lang w:val="uk-UA"/>
        </w:rPr>
      </w:pPr>
    </w:p>
    <w:p w:rsidR="00CD4F5F" w:rsidRPr="00CD4F5F" w:rsidRDefault="00CD4F5F" w:rsidP="00CD4F5F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внесення змін до </w:t>
      </w:r>
      <w:r>
        <w:rPr>
          <w:b/>
          <w:i/>
          <w:sz w:val="28"/>
          <w:szCs w:val="28"/>
          <w:lang w:val="uk-UA"/>
        </w:rPr>
        <w:t>Програми</w:t>
      </w:r>
    </w:p>
    <w:p w:rsidR="00CD4F5F" w:rsidRDefault="00CD4F5F" w:rsidP="00CD4F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зовнішнього освітлення території</w:t>
      </w:r>
    </w:p>
    <w:p w:rsidR="00CD4F5F" w:rsidRDefault="00CD4F5F" w:rsidP="00CD4F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Бахмутської міської об’єднаної</w:t>
      </w:r>
    </w:p>
    <w:p w:rsidR="00CD4F5F" w:rsidRDefault="00CD4F5F" w:rsidP="00CD4F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територіальної громади на 2021-2025 роки </w:t>
      </w:r>
    </w:p>
    <w:p w:rsidR="00CD4F5F" w:rsidRDefault="00CD4F5F" w:rsidP="00A259BB">
      <w:pPr>
        <w:rPr>
          <w:sz w:val="28"/>
          <w:szCs w:val="28"/>
          <w:lang w:val="uk-UA"/>
        </w:rPr>
      </w:pPr>
    </w:p>
    <w:p w:rsidR="0039155A" w:rsidRPr="00B51BF1" w:rsidRDefault="0039155A" w:rsidP="0039155A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>Бахмутської міської ради Гармаш С.М.</w:t>
      </w:r>
      <w:r w:rsidRPr="00BD62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11.01.2021 </w:t>
      </w:r>
      <w:r w:rsidRPr="00ED5C6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01/31-49 </w:t>
      </w:r>
      <w:r w:rsidRPr="001C2367">
        <w:rPr>
          <w:sz w:val="28"/>
          <w:szCs w:val="28"/>
          <w:lang w:val="uk-UA"/>
        </w:rPr>
        <w:t>(</w:t>
      </w:r>
      <w:proofErr w:type="spellStart"/>
      <w:r w:rsidRPr="001C2367">
        <w:rPr>
          <w:sz w:val="28"/>
          <w:szCs w:val="28"/>
          <w:lang w:val="uk-UA"/>
        </w:rPr>
        <w:t>вх</w:t>
      </w:r>
      <w:proofErr w:type="spellEnd"/>
      <w:r w:rsidRPr="001C2367">
        <w:rPr>
          <w:sz w:val="28"/>
          <w:szCs w:val="28"/>
          <w:lang w:val="uk-UA"/>
        </w:rPr>
        <w:t>. №</w:t>
      </w:r>
      <w:r>
        <w:rPr>
          <w:sz w:val="28"/>
          <w:szCs w:val="28"/>
          <w:lang w:val="uk-UA"/>
        </w:rPr>
        <w:t xml:space="preserve"> 01-31/152/0</w:t>
      </w:r>
      <w:r w:rsidR="001049B6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1-21 від 12.01.2021) про </w:t>
      </w:r>
      <w:r>
        <w:rPr>
          <w:sz w:val="28"/>
          <w:lang w:val="uk-UA"/>
        </w:rPr>
        <w:t>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</w:t>
      </w:r>
      <w:r w:rsidRPr="00CD4F5F">
        <w:rPr>
          <w:sz w:val="28"/>
          <w:szCs w:val="28"/>
          <w:lang w:val="uk-UA"/>
        </w:rPr>
        <w:t>зовнішнього освітлення території</w:t>
      </w:r>
      <w:r>
        <w:rPr>
          <w:sz w:val="28"/>
          <w:szCs w:val="28"/>
          <w:lang w:val="uk-UA"/>
        </w:rPr>
        <w:t xml:space="preserve"> </w:t>
      </w:r>
      <w:r w:rsidRPr="00CD4F5F">
        <w:rPr>
          <w:sz w:val="28"/>
          <w:szCs w:val="28"/>
          <w:lang w:val="uk-UA"/>
        </w:rPr>
        <w:t>Бахмутської міської об’єднаної</w:t>
      </w:r>
      <w:r>
        <w:rPr>
          <w:sz w:val="28"/>
          <w:szCs w:val="28"/>
          <w:lang w:val="uk-UA"/>
        </w:rPr>
        <w:t xml:space="preserve"> </w:t>
      </w:r>
      <w:r w:rsidRPr="00CD4F5F">
        <w:rPr>
          <w:sz w:val="28"/>
          <w:szCs w:val="28"/>
          <w:lang w:val="uk-UA"/>
        </w:rPr>
        <w:t>територіальної громади на 2021-2025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Бахмутської міської ради від 21.10.2020 № 6/148-3152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висновки: Управління економічного розвитку Бахмутської міської ради від 12.01.2021 </w:t>
      </w:r>
      <w:r w:rsidRPr="001C236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42/02, Фінансового управління Бахмутської міської ради від 13.01.2021 </w:t>
      </w:r>
      <w:r w:rsidRPr="001C236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03-29/46,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«Про благоустрій населених пунктів»,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>
        <w:rPr>
          <w:sz w:val="28"/>
          <w:szCs w:val="28"/>
          <w:lang w:val="uk-UA"/>
        </w:rPr>
        <w:t>(</w:t>
      </w:r>
      <w:r w:rsidRPr="0034406D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 26 Закону України «Про місцеве </w:t>
      </w:r>
      <w:r w:rsidRPr="00E7675B">
        <w:rPr>
          <w:sz w:val="28"/>
          <w:szCs w:val="28"/>
          <w:lang w:val="uk-UA"/>
        </w:rPr>
        <w:t>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Бахмутська міська рада</w:t>
      </w:r>
    </w:p>
    <w:p w:rsidR="00A259BB" w:rsidRDefault="00A259BB" w:rsidP="00A259BB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</w:t>
      </w:r>
    </w:p>
    <w:p w:rsidR="00A259BB" w:rsidRPr="00E7675B" w:rsidRDefault="00A259BB" w:rsidP="00A259BB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  <w:t xml:space="preserve"> </w:t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A259BB" w:rsidRPr="00193758" w:rsidRDefault="00A259BB" w:rsidP="00A259BB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A259BB" w:rsidRDefault="00A259BB" w:rsidP="00D11BAD">
      <w:pPr>
        <w:ind w:firstLine="708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 w:rsidR="00D11BAD">
        <w:rPr>
          <w:sz w:val="28"/>
          <w:szCs w:val="28"/>
          <w:lang w:val="uk-UA"/>
        </w:rPr>
        <w:t xml:space="preserve"> </w:t>
      </w:r>
      <w:r w:rsidR="00D11BAD" w:rsidRPr="00E259F2">
        <w:rPr>
          <w:sz w:val="28"/>
          <w:szCs w:val="28"/>
          <w:lang w:val="uk-UA"/>
        </w:rPr>
        <w:t>Програми</w:t>
      </w:r>
      <w:r w:rsidR="00D11BAD">
        <w:rPr>
          <w:sz w:val="28"/>
          <w:szCs w:val="28"/>
          <w:lang w:val="uk-UA"/>
        </w:rPr>
        <w:t xml:space="preserve"> </w:t>
      </w:r>
      <w:r w:rsidR="00D11BAD" w:rsidRPr="00CD4F5F">
        <w:rPr>
          <w:sz w:val="28"/>
          <w:szCs w:val="28"/>
          <w:lang w:val="uk-UA"/>
        </w:rPr>
        <w:t>зовнішнього освітлення території</w:t>
      </w:r>
      <w:r w:rsidR="00D11BAD">
        <w:rPr>
          <w:sz w:val="28"/>
          <w:szCs w:val="28"/>
          <w:lang w:val="uk-UA"/>
        </w:rPr>
        <w:t xml:space="preserve"> </w:t>
      </w:r>
      <w:r w:rsidR="00D11BAD" w:rsidRPr="00CD4F5F">
        <w:rPr>
          <w:sz w:val="28"/>
          <w:szCs w:val="28"/>
          <w:lang w:val="uk-UA"/>
        </w:rPr>
        <w:t>Бахмутської міської об’єднаної</w:t>
      </w:r>
      <w:r w:rsidR="00D11BAD">
        <w:rPr>
          <w:sz w:val="28"/>
          <w:szCs w:val="28"/>
          <w:lang w:val="uk-UA"/>
        </w:rPr>
        <w:t xml:space="preserve"> </w:t>
      </w:r>
      <w:r w:rsidR="00D11BAD" w:rsidRPr="00CD4F5F">
        <w:rPr>
          <w:sz w:val="28"/>
          <w:szCs w:val="28"/>
          <w:lang w:val="uk-UA"/>
        </w:rPr>
        <w:t>територіальної громади на 2021-2025 роки</w:t>
      </w:r>
      <w:r w:rsidR="00D11BAD">
        <w:rPr>
          <w:sz w:val="28"/>
          <w:szCs w:val="28"/>
          <w:lang w:val="uk-UA"/>
        </w:rPr>
        <w:t xml:space="preserve">, </w:t>
      </w:r>
      <w:r w:rsidR="00D11BAD" w:rsidRPr="00B93320">
        <w:rPr>
          <w:sz w:val="28"/>
          <w:szCs w:val="28"/>
          <w:lang w:val="uk-UA"/>
        </w:rPr>
        <w:t xml:space="preserve">затвердженої рішенням </w:t>
      </w:r>
      <w:r w:rsidR="00D11BAD">
        <w:rPr>
          <w:sz w:val="28"/>
          <w:szCs w:val="28"/>
          <w:lang w:val="uk-UA"/>
        </w:rPr>
        <w:t xml:space="preserve">Бахмутської міської ради від 21.10.2020 № 6/148-3152 </w:t>
      </w:r>
      <w:r w:rsidRPr="00E40BF3">
        <w:rPr>
          <w:sz w:val="28"/>
          <w:szCs w:val="28"/>
          <w:lang w:val="uk-UA"/>
        </w:rPr>
        <w:t>(далі – Програма):</w:t>
      </w:r>
    </w:p>
    <w:p w:rsidR="00A259BB" w:rsidRDefault="00A259BB" w:rsidP="00A259B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A259BB" w:rsidRDefault="00A259BB" w:rsidP="00A259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</w:t>
      </w:r>
      <w:r w:rsidRPr="00DB226F">
        <w:rPr>
          <w:sz w:val="28"/>
          <w:szCs w:val="28"/>
          <w:lang w:val="uk-UA"/>
        </w:rPr>
        <w:t xml:space="preserve">9 та </w:t>
      </w:r>
      <w:proofErr w:type="spellStart"/>
      <w:r w:rsidRPr="00DB226F">
        <w:rPr>
          <w:sz w:val="28"/>
          <w:szCs w:val="28"/>
          <w:lang w:val="uk-UA"/>
        </w:rPr>
        <w:t>п.п</w:t>
      </w:r>
      <w:proofErr w:type="spellEnd"/>
      <w:r w:rsidRPr="00DB226F">
        <w:rPr>
          <w:sz w:val="28"/>
          <w:szCs w:val="28"/>
          <w:lang w:val="uk-UA"/>
        </w:rPr>
        <w:t xml:space="preserve">. 9.1 </w:t>
      </w:r>
      <w:r w:rsidRPr="00B22DD9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A259BB" w:rsidRDefault="00A259BB" w:rsidP="00A259B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589"/>
        <w:gridCol w:w="5190"/>
      </w:tblGrid>
      <w:tr w:rsidR="00A259BB" w:rsidTr="00D11BAD">
        <w:tc>
          <w:tcPr>
            <w:tcW w:w="566" w:type="dxa"/>
          </w:tcPr>
          <w:p w:rsidR="00A259BB" w:rsidRPr="00320DBA" w:rsidRDefault="00A259BB" w:rsidP="00D11BAD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A259BB" w:rsidRPr="00320DBA" w:rsidRDefault="00A259BB" w:rsidP="00D11BAD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A259BB" w:rsidRPr="00D11BAD" w:rsidRDefault="00A259BB" w:rsidP="00D11BAD">
            <w:pPr>
              <w:jc w:val="both"/>
              <w:rPr>
                <w:bCs/>
                <w:color w:val="FF0000"/>
                <w:sz w:val="28"/>
                <w:szCs w:val="28"/>
                <w:lang w:val="uk-UA" w:eastAsia="en-US"/>
              </w:rPr>
            </w:pPr>
          </w:p>
          <w:p w:rsidR="00A259BB" w:rsidRPr="00D11BAD" w:rsidRDefault="00A259BB" w:rsidP="00D11BAD">
            <w:pPr>
              <w:jc w:val="both"/>
              <w:rPr>
                <w:bCs/>
                <w:color w:val="FF0000"/>
                <w:sz w:val="28"/>
                <w:szCs w:val="28"/>
                <w:lang w:val="uk-UA" w:eastAsia="en-US"/>
              </w:rPr>
            </w:pPr>
          </w:p>
          <w:p w:rsidR="00A259BB" w:rsidRPr="00D11BAD" w:rsidRDefault="00DB226F" w:rsidP="00D11BAD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  <w:r w:rsidRPr="00DB226F">
              <w:rPr>
                <w:sz w:val="28"/>
                <w:szCs w:val="28"/>
                <w:lang w:val="uk-UA"/>
              </w:rPr>
              <w:t>81586,9</w:t>
            </w:r>
            <w:r w:rsidR="00A259BB" w:rsidRPr="00DB226F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A259BB" w:rsidTr="00D11BAD">
        <w:tc>
          <w:tcPr>
            <w:tcW w:w="566" w:type="dxa"/>
          </w:tcPr>
          <w:p w:rsidR="00A259BB" w:rsidRPr="00320DBA" w:rsidRDefault="00A259BB" w:rsidP="00D11BAD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A259BB" w:rsidRPr="00320DBA" w:rsidRDefault="00A259BB" w:rsidP="00D11BAD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A259BB" w:rsidRPr="00320DBA" w:rsidRDefault="00A259BB" w:rsidP="00D11BAD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 xml:space="preserve">- </w:t>
            </w:r>
            <w:r w:rsidRPr="009F467C">
              <w:rPr>
                <w:sz w:val="28"/>
                <w:szCs w:val="28"/>
                <w:lang w:val="uk-UA"/>
              </w:rPr>
              <w:t>коштів державного бюджету</w:t>
            </w:r>
          </w:p>
          <w:p w:rsidR="00A259BB" w:rsidRPr="00320DBA" w:rsidRDefault="00A259BB" w:rsidP="00D11BAD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A259BB" w:rsidRPr="00320DBA" w:rsidRDefault="00A259BB" w:rsidP="00D11BAD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бюджету</w:t>
            </w:r>
            <w:r w:rsidR="006F2BDD">
              <w:rPr>
                <w:sz w:val="28"/>
                <w:szCs w:val="28"/>
                <w:lang w:val="uk-UA"/>
              </w:rPr>
              <w:t xml:space="preserve"> Бахмутської міської </w:t>
            </w:r>
            <w:r>
              <w:rPr>
                <w:sz w:val="28"/>
                <w:szCs w:val="28"/>
                <w:lang w:val="uk-UA"/>
              </w:rPr>
              <w:t>територіальної громади</w:t>
            </w:r>
          </w:p>
          <w:p w:rsidR="00A259BB" w:rsidRPr="00320DBA" w:rsidRDefault="00A259BB" w:rsidP="00D11BAD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A259BB" w:rsidRPr="00D11BAD" w:rsidRDefault="00A259BB" w:rsidP="00D11BA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259BB" w:rsidRPr="00D11BAD" w:rsidRDefault="00A259BB" w:rsidP="00D11BA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259BB" w:rsidRPr="00DB226F" w:rsidRDefault="00DB226F" w:rsidP="00D11BAD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DB226F">
              <w:rPr>
                <w:bCs/>
                <w:iCs/>
                <w:sz w:val="28"/>
                <w:szCs w:val="28"/>
                <w:lang w:val="uk-UA"/>
              </w:rPr>
              <w:t>-</w:t>
            </w:r>
          </w:p>
          <w:p w:rsidR="00A259BB" w:rsidRPr="00DB226F" w:rsidRDefault="00A259BB" w:rsidP="00D11BAD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DB226F">
              <w:rPr>
                <w:sz w:val="28"/>
                <w:szCs w:val="28"/>
                <w:lang w:val="uk-UA"/>
              </w:rPr>
              <w:t>-</w:t>
            </w:r>
          </w:p>
          <w:p w:rsidR="00A259BB" w:rsidRPr="00DB226F" w:rsidRDefault="00A259BB" w:rsidP="00D11B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259BB" w:rsidRPr="00DB226F" w:rsidRDefault="00A259BB" w:rsidP="00D11B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259BB" w:rsidRPr="00DB226F" w:rsidRDefault="00DB226F" w:rsidP="00D11BAD">
            <w:pPr>
              <w:jc w:val="center"/>
              <w:rPr>
                <w:sz w:val="28"/>
                <w:szCs w:val="28"/>
                <w:lang w:val="uk-UA"/>
              </w:rPr>
            </w:pPr>
            <w:r w:rsidRPr="00DB226F">
              <w:rPr>
                <w:sz w:val="28"/>
                <w:szCs w:val="28"/>
                <w:lang w:val="uk-UA"/>
              </w:rPr>
              <w:t>81386,9</w:t>
            </w:r>
            <w:r w:rsidR="00A259BB" w:rsidRPr="00DB226F">
              <w:rPr>
                <w:sz w:val="28"/>
                <w:szCs w:val="28"/>
                <w:lang w:val="uk-UA"/>
              </w:rPr>
              <w:t xml:space="preserve"> тис грн.</w:t>
            </w:r>
          </w:p>
          <w:p w:rsidR="00A259BB" w:rsidRPr="00D11BAD" w:rsidRDefault="00DB226F" w:rsidP="00D11BA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B226F">
              <w:rPr>
                <w:sz w:val="28"/>
                <w:szCs w:val="28"/>
                <w:lang w:val="uk-UA"/>
              </w:rPr>
              <w:t>200,0</w:t>
            </w:r>
            <w:r w:rsidR="00A259BB" w:rsidRPr="00DB226F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A259BB" w:rsidRDefault="00A259BB" w:rsidP="00A259B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9BB" w:rsidRDefault="00A259BB" w:rsidP="00A259B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Додаток 1 «Заходи з реалізації Програми» до Програми викласти у новій редакції, згідно додатку 1.</w:t>
      </w:r>
    </w:p>
    <w:p w:rsidR="00A259BB" w:rsidRDefault="00A259BB" w:rsidP="00A259BB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Додаток 2 «Показники результативності Програми» до Програми</w:t>
      </w:r>
      <w:r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A259BB" w:rsidRDefault="00A259BB" w:rsidP="00A259BB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1.4. Додаток 3 «Ресурсне забезпечення Програми» до Програми викласти</w:t>
      </w:r>
      <w:r w:rsidRPr="00E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:rsidR="00A259BB" w:rsidRPr="00EE0559" w:rsidRDefault="00A259BB" w:rsidP="00A259BB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A259BB" w:rsidRDefault="00A259BB" w:rsidP="00A259BB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2. Управлінню розвитку міського господарства та капітального будівництва Бахмутської міської ради (Гармаш),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A259BB" w:rsidRDefault="00A259BB" w:rsidP="00A259BB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259BB" w:rsidRDefault="00A259BB" w:rsidP="00A259BB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3. </w:t>
      </w:r>
      <w:r>
        <w:rPr>
          <w:sz w:val="28"/>
          <w:lang w:val="uk-UA"/>
        </w:rPr>
        <w:t>Фінансовому управлінню Бахмутської міської ради (</w:t>
      </w:r>
      <w:proofErr w:type="spellStart"/>
      <w:r>
        <w:rPr>
          <w:sz w:val="28"/>
          <w:lang w:val="uk-UA"/>
        </w:rPr>
        <w:t>Підкуйко</w:t>
      </w:r>
      <w:proofErr w:type="spellEnd"/>
      <w:r w:rsidRPr="002906FD">
        <w:rPr>
          <w:sz w:val="28"/>
          <w:lang w:val="uk-UA"/>
        </w:rPr>
        <w:t>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бюджеті</w:t>
      </w:r>
      <w:r w:rsidRPr="00F2770D">
        <w:rPr>
          <w:sz w:val="28"/>
          <w:lang w:val="uk-UA"/>
        </w:rPr>
        <w:t xml:space="preserve"> </w:t>
      </w:r>
      <w:r w:rsidR="00975443">
        <w:rPr>
          <w:sz w:val="28"/>
          <w:lang w:val="uk-UA"/>
        </w:rPr>
        <w:t xml:space="preserve">Бахмутської міської </w:t>
      </w:r>
      <w:r w:rsidR="00D11BAD">
        <w:rPr>
          <w:sz w:val="28"/>
          <w:lang w:val="uk-UA"/>
        </w:rPr>
        <w:t>територіальної громади на 2021</w:t>
      </w:r>
      <w:r w:rsidR="00975443">
        <w:rPr>
          <w:sz w:val="28"/>
          <w:lang w:val="uk-UA"/>
        </w:rPr>
        <w:t xml:space="preserve"> рік та передбачати кошти на фінансування заходів Програми при формуванні проєктів </w:t>
      </w:r>
      <w:r w:rsidR="00203262">
        <w:rPr>
          <w:sz w:val="28"/>
          <w:lang w:val="uk-UA"/>
        </w:rPr>
        <w:t>бюджету Бахмутської міської територіальної громади на наступні роки</w:t>
      </w:r>
      <w:r w:rsidR="00203262" w:rsidRPr="00AC4485">
        <w:rPr>
          <w:sz w:val="28"/>
          <w:lang w:val="uk-UA"/>
        </w:rPr>
        <w:t>.</w:t>
      </w:r>
    </w:p>
    <w:p w:rsidR="00A259BB" w:rsidRDefault="00A259BB" w:rsidP="00A259BB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A259BB" w:rsidRDefault="00B10783" w:rsidP="00A259BB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259BB">
        <w:rPr>
          <w:sz w:val="28"/>
          <w:lang w:val="uk-UA"/>
        </w:rPr>
        <w:t>. Організаційне виконання рішення покласти на Управління розвитку міського господарства та капітального будівництва Бахмутської міської ради (Гармаш), Фінансове управління Бахмутської міської ради (</w:t>
      </w:r>
      <w:proofErr w:type="spellStart"/>
      <w:r w:rsidR="00A259BB">
        <w:rPr>
          <w:sz w:val="28"/>
          <w:lang w:val="uk-UA"/>
        </w:rPr>
        <w:t>Підкуйко</w:t>
      </w:r>
      <w:proofErr w:type="spellEnd"/>
      <w:r w:rsidR="00A259BB">
        <w:rPr>
          <w:sz w:val="28"/>
          <w:lang w:val="uk-UA"/>
        </w:rPr>
        <w:t xml:space="preserve">), заступника міського голови Марченка О.О., першого заступника міського голови </w:t>
      </w:r>
      <w:proofErr w:type="spellStart"/>
      <w:r w:rsidR="00A259BB">
        <w:rPr>
          <w:sz w:val="28"/>
          <w:lang w:val="uk-UA"/>
        </w:rPr>
        <w:t>Суткового</w:t>
      </w:r>
      <w:proofErr w:type="spellEnd"/>
      <w:r w:rsidR="00A259BB">
        <w:rPr>
          <w:sz w:val="28"/>
          <w:lang w:val="uk-UA"/>
        </w:rPr>
        <w:t xml:space="preserve"> М.В.</w:t>
      </w:r>
    </w:p>
    <w:p w:rsidR="00A259BB" w:rsidRDefault="00A259BB" w:rsidP="00A259BB">
      <w:pPr>
        <w:ind w:right="-1" w:firstLine="708"/>
        <w:jc w:val="both"/>
        <w:rPr>
          <w:sz w:val="28"/>
          <w:lang w:val="uk-UA"/>
        </w:rPr>
      </w:pPr>
    </w:p>
    <w:p w:rsidR="00A259BB" w:rsidRDefault="00B10783" w:rsidP="00A259BB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A259BB">
        <w:rPr>
          <w:sz w:val="28"/>
          <w:szCs w:val="28"/>
          <w:lang w:val="uk-UA"/>
        </w:rPr>
        <w:t xml:space="preserve">. </w:t>
      </w:r>
      <w:r w:rsidR="00A259BB"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A259BB">
        <w:rPr>
          <w:sz w:val="28"/>
          <w:szCs w:val="28"/>
          <w:lang w:val="uk-UA"/>
        </w:rPr>
        <w:t>на постійні комісії Бахмутської</w:t>
      </w:r>
      <w:r w:rsidR="00A259BB" w:rsidRPr="006E0B61">
        <w:rPr>
          <w:sz w:val="28"/>
          <w:szCs w:val="28"/>
          <w:lang w:val="uk-UA"/>
        </w:rPr>
        <w:t xml:space="preserve"> міської ради: з питань </w:t>
      </w:r>
      <w:r w:rsidR="00A259BB">
        <w:rPr>
          <w:sz w:val="28"/>
          <w:szCs w:val="28"/>
          <w:lang w:val="uk-UA"/>
        </w:rPr>
        <w:t>економічного розвитку, бюджету, регуляторної політики (Бабенко</w:t>
      </w:r>
      <w:r w:rsidR="00A259BB" w:rsidRPr="006E0B61">
        <w:rPr>
          <w:sz w:val="28"/>
          <w:szCs w:val="28"/>
          <w:lang w:val="uk-UA"/>
        </w:rPr>
        <w:t xml:space="preserve">), з питань  </w:t>
      </w:r>
      <w:r w:rsidR="00A259BB" w:rsidRPr="006E0B61">
        <w:rPr>
          <w:bCs/>
          <w:iCs/>
          <w:sz w:val="28"/>
          <w:szCs w:val="28"/>
          <w:lang w:val="uk-UA"/>
        </w:rPr>
        <w:t>житлово – комунального господарства, екології,</w:t>
      </w:r>
      <w:r w:rsidR="00A259BB">
        <w:rPr>
          <w:bCs/>
          <w:iCs/>
          <w:sz w:val="28"/>
          <w:szCs w:val="28"/>
          <w:lang w:val="uk-UA"/>
        </w:rPr>
        <w:t xml:space="preserve"> транспорту і зв’язку (Кравченко</w:t>
      </w:r>
      <w:r w:rsidR="00A259BB" w:rsidRPr="006E0B61">
        <w:rPr>
          <w:bCs/>
          <w:iCs/>
          <w:sz w:val="28"/>
          <w:szCs w:val="28"/>
          <w:lang w:val="uk-UA"/>
        </w:rPr>
        <w:t xml:space="preserve">), </w:t>
      </w:r>
      <w:r w:rsidR="00A259BB">
        <w:rPr>
          <w:sz w:val="28"/>
          <w:szCs w:val="28"/>
          <w:lang w:val="uk-UA"/>
        </w:rPr>
        <w:t>секретаря Бахмутської</w:t>
      </w:r>
      <w:r w:rsidR="00A259BB" w:rsidRPr="006E0B61">
        <w:rPr>
          <w:sz w:val="28"/>
          <w:szCs w:val="28"/>
          <w:lang w:val="uk-UA"/>
        </w:rPr>
        <w:t xml:space="preserve"> міської ради</w:t>
      </w:r>
      <w:r w:rsidR="00A259BB">
        <w:rPr>
          <w:sz w:val="28"/>
          <w:szCs w:val="28"/>
          <w:lang w:val="uk-UA"/>
        </w:rPr>
        <w:t xml:space="preserve"> </w:t>
      </w:r>
      <w:proofErr w:type="spellStart"/>
      <w:r w:rsidR="00A259BB">
        <w:rPr>
          <w:sz w:val="28"/>
          <w:szCs w:val="28"/>
          <w:lang w:val="uk-UA"/>
        </w:rPr>
        <w:t>Касперську</w:t>
      </w:r>
      <w:proofErr w:type="spellEnd"/>
      <w:r w:rsidR="00A259BB">
        <w:rPr>
          <w:sz w:val="28"/>
          <w:szCs w:val="28"/>
          <w:lang w:val="uk-UA"/>
        </w:rPr>
        <w:t xml:space="preserve"> А.П.</w:t>
      </w:r>
      <w:r w:rsidR="00A259BB" w:rsidRPr="006E0B61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366BFA" w:rsidRPr="006E0B61" w:rsidRDefault="00366BFA" w:rsidP="00A259BB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30241C" w:rsidRDefault="00A259BB" w:rsidP="00E24D82">
      <w:pPr>
        <w:pStyle w:val="7"/>
        <w:tabs>
          <w:tab w:val="left" w:pos="7655"/>
        </w:tabs>
        <w:spacing w:before="0" w:after="0"/>
        <w:rPr>
          <w:b/>
          <w:sz w:val="28"/>
          <w:szCs w:val="28"/>
          <w:lang w:val="uk-UA"/>
        </w:rPr>
        <w:sectPr w:rsidR="0030241C" w:rsidSect="0030241C">
          <w:headerReference w:type="default" r:id="rId8"/>
          <w:headerReference w:type="first" r:id="rId9"/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>Міський  голова                                                                    О.О. РЕВА</w:t>
      </w:r>
    </w:p>
    <w:p w:rsidR="0030241C" w:rsidRDefault="0030241C" w:rsidP="0030241C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30241C" w:rsidRDefault="0030241C" w:rsidP="0030241C">
      <w:pPr>
        <w:ind w:left="9072"/>
        <w:rPr>
          <w:i/>
          <w:lang w:val="uk-UA"/>
        </w:rPr>
      </w:pPr>
      <w:r>
        <w:rPr>
          <w:i/>
          <w:lang w:val="uk-UA"/>
        </w:rPr>
        <w:t>до Програми зовнішнього освітлення території Бахмутської міської об’єднаної територіальної громади на 2021-2025 роки, затвердженої рішенням</w:t>
      </w:r>
    </w:p>
    <w:p w:rsidR="0030241C" w:rsidRDefault="0030241C" w:rsidP="0030241C">
      <w:pPr>
        <w:ind w:left="9072"/>
        <w:rPr>
          <w:i/>
          <w:lang w:val="uk-UA"/>
        </w:rPr>
      </w:pPr>
      <w:r>
        <w:rPr>
          <w:i/>
          <w:lang w:val="uk-UA"/>
        </w:rPr>
        <w:t xml:space="preserve">Бахмутської міської ради від 21.10.2020 № 6/148-3152 (Додаток 1 у редакції рішення Бахмутської міської ради від </w:t>
      </w:r>
      <w:r w:rsidR="003C688D">
        <w:rPr>
          <w:i/>
          <w:lang w:val="uk-UA"/>
        </w:rPr>
        <w:t>27</w:t>
      </w:r>
      <w:r>
        <w:rPr>
          <w:i/>
          <w:lang w:val="uk-UA"/>
        </w:rPr>
        <w:t>.01.2021 № 7/4-</w:t>
      </w:r>
      <w:r w:rsidR="000D44B4">
        <w:rPr>
          <w:i/>
          <w:lang w:val="uk-UA"/>
        </w:rPr>
        <w:t>102</w:t>
      </w:r>
      <w:r>
        <w:rPr>
          <w:i/>
          <w:lang w:val="uk-UA"/>
        </w:rPr>
        <w:t xml:space="preserve"> )</w:t>
      </w:r>
    </w:p>
    <w:p w:rsidR="0030241C" w:rsidRDefault="0030241C" w:rsidP="0030241C">
      <w:pPr>
        <w:ind w:left="9072"/>
        <w:rPr>
          <w:i/>
          <w:sz w:val="28"/>
          <w:szCs w:val="28"/>
          <w:lang w:val="uk-UA"/>
        </w:rPr>
      </w:pPr>
      <w:r>
        <w:rPr>
          <w:i/>
          <w:lang w:val="uk-UA"/>
        </w:rPr>
        <w:t xml:space="preserve"> </w:t>
      </w:r>
    </w:p>
    <w:p w:rsidR="0030241C" w:rsidRDefault="0030241C" w:rsidP="0030241C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30241C" w:rsidRDefault="0030241C" w:rsidP="0030241C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30241C" w:rsidTr="00351903">
        <w:trPr>
          <w:trHeight w:val="2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№</w:t>
            </w: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Очікуваний результат</w:t>
            </w:r>
          </w:p>
        </w:tc>
      </w:tr>
      <w:tr w:rsidR="0030241C" w:rsidTr="00351903">
        <w:trPr>
          <w:trHeight w:val="4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2021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2022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2023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2024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2025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lang w:val="uk-UA" w:eastAsia="en-US"/>
              </w:rPr>
            </w:pPr>
          </w:p>
        </w:tc>
      </w:tr>
      <w:tr w:rsidR="0030241C" w:rsidTr="003519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</w:t>
            </w:r>
          </w:p>
        </w:tc>
      </w:tr>
      <w:tr w:rsidR="0030241C" w:rsidTr="00351903">
        <w:trPr>
          <w:trHeight w:val="20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Енергоефективна модернізація мереж зовнішнього освітлення (далі – МЗО)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Виконання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проєктних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робіт з капітального</w:t>
            </w:r>
            <w:r>
              <w:rPr>
                <w:sz w:val="16"/>
                <w:szCs w:val="16"/>
                <w:lang w:eastAsia="en-US"/>
              </w:rPr>
              <w:t xml:space="preserve"> ремонт</w:t>
            </w:r>
            <w:r>
              <w:rPr>
                <w:sz w:val="16"/>
                <w:szCs w:val="16"/>
                <w:lang w:val="uk-UA" w:eastAsia="en-US"/>
              </w:rPr>
              <w:t>у ліній зовнішнього освітлення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2022 - 2025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>
              <w:rPr>
                <w:sz w:val="16"/>
                <w:szCs w:val="16"/>
                <w:lang w:eastAsia="en-US"/>
              </w:rPr>
              <w:t xml:space="preserve">ради </w:t>
            </w:r>
            <w:r>
              <w:rPr>
                <w:sz w:val="16"/>
                <w:szCs w:val="16"/>
                <w:lang w:val="uk-UA" w:eastAsia="en-US"/>
              </w:rPr>
              <w:t>(далі –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УРМГ та КБ)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бюджет 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Отримання проєктно-кошторисної документації, проведення експертизи     8 од.</w:t>
            </w:r>
          </w:p>
        </w:tc>
      </w:tr>
      <w:tr w:rsidR="0030241C" w:rsidTr="00351903">
        <w:trPr>
          <w:trHeight w:val="26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Виконання капітальних ремонтів ліній зовнішнього освітлення вулиць, провулків, дворових територій, парків, скверів з встановленням світлодіодних світильників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2021 - 2025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УРМГ та КБ, 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комунальні підприємства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62</w:t>
            </w:r>
            <w:r>
              <w:rPr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107</w:t>
            </w:r>
            <w:r>
              <w:rPr>
                <w:b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світлодіодних світильників     1053 шт., прокладення ліній зовнішнього освітлення – 23,9 км</w:t>
            </w:r>
          </w:p>
        </w:tc>
      </w:tr>
      <w:tr w:rsidR="0030241C" w:rsidTr="00351903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Виконання капітальних ремонтів ліній зовнішнього освітлення закладів культури 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 культури Бахмутської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15 шт., опор 15 шт., прокладка   0,4 км кабелю</w:t>
            </w:r>
          </w:p>
        </w:tc>
      </w:tr>
      <w:tr w:rsidR="0030241C" w:rsidTr="00351903">
        <w:trPr>
          <w:trHeight w:val="5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4</w:t>
            </w:r>
            <w:r>
              <w:rPr>
                <w:b/>
                <w:bCs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Виконання капітальних ремонтів ліній зовнішнього освітлення медичних закладів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2021, 2023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 охорони здоров’я Бахмутської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339,7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16 шт., прокладка   1,35 км кабелю</w:t>
            </w:r>
          </w:p>
        </w:tc>
      </w:tr>
      <w:tr w:rsidR="0030241C" w:rsidTr="00351903">
        <w:trPr>
          <w:trHeight w:val="10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Виконання капітальних ремонтів ліній зовнішнього освітлення закладів освіти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 освіти Бахмутської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1005,2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1005,2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67 шт., прокладка 1,154 км кабелю</w:t>
            </w:r>
          </w:p>
        </w:tc>
      </w:tr>
      <w:tr w:rsidR="0030241C" w:rsidTr="003519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Виконання поточних ремонтів ліній зовнішнього освітлення спортивних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 з питань фізичної культури  та спорту Бахмутської міської ради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Утримання приборів освітлення в дієвому стані</w:t>
            </w:r>
          </w:p>
        </w:tc>
      </w:tr>
      <w:tr w:rsidR="0030241C" w:rsidTr="00351903">
        <w:trPr>
          <w:trHeight w:val="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Виконання капітальних ремонтів шаф управління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УРМГ та КБ,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комунальні підприємства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1500,0</w:t>
            </w: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3480,0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Виконання капітальних ремонтів шаф управління – 116 од.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0241C" w:rsidTr="00351903">
        <w:trPr>
          <w:trHeight w:val="4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Придбання мобільної техніки для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обслуговуван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ня МЗО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Придбання телескопічного підйомнику АП-18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УРМГ та КБ, Управління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муніципаль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ного розвитку Бахмутської міської ради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3000,0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телескопіч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  ного підйомнику – 1 од.</w:t>
            </w:r>
          </w:p>
        </w:tc>
      </w:tr>
      <w:tr w:rsidR="0030241C" w:rsidTr="00351903">
        <w:trPr>
          <w:trHeight w:val="1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Покращення естетичного вигляду території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Придбання та встановлення ілюмінації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Управління культури Бахмутської міської ради, 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УРМГ та КБ, 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комунальні підприємства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407,0</w:t>
            </w: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300,0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150,0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407,0</w:t>
            </w:r>
          </w:p>
          <w:p w:rsidR="0030241C" w:rsidRDefault="0030241C" w:rsidP="00351903">
            <w:pPr>
              <w:spacing w:line="276" w:lineRule="auto"/>
              <w:jc w:val="center"/>
              <w:rPr>
                <w:b/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color w:val="4F81BD" w:themeColor="accent1"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950,0</w:t>
            </w:r>
          </w:p>
          <w:p w:rsidR="0030241C" w:rsidRDefault="0030241C" w:rsidP="00351903">
            <w:pPr>
              <w:spacing w:line="276" w:lineRule="auto"/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Придбання і встановлення ілюмінації  -  9 од.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</w:tr>
      <w:tr w:rsidR="0030241C" w:rsidTr="00351903">
        <w:trPr>
          <w:trHeight w:val="2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Забезпечення надійного функціонування системи зовнішнього освітлення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Заміна приладів диференційного обліку електроенергії, термін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держповірки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яких закінчився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КОМУНАЛЬ НЕ   ПІДПРИЄМ СТВО «БАХМУТ СЬКИЙ  КОМБІНАТ КОМУНАЛЬ НИХ  ПІДПРИ ЄМСТВ» (далі КП «БККП»)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Заміна приладів диференційного обліку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електроенер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гії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, термін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держповірки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яких закінчив ся - 75</w:t>
            </w:r>
            <w:r>
              <w:rPr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sz w:val="16"/>
                <w:szCs w:val="16"/>
                <w:lang w:val="uk-UA" w:eastAsia="en-US"/>
              </w:rPr>
              <w:t>од.</w:t>
            </w:r>
          </w:p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</w:tc>
      </w:tr>
      <w:tr w:rsidR="0030241C" w:rsidTr="00351903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Отримання технічних умов на збільшення потужності приєднань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УРМГ та 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0241C" w:rsidRDefault="0030241C" w:rsidP="00351903">
            <w:pPr>
              <w:spacing w:line="276" w:lineRule="auto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територі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альної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Отримання технічних умов</w:t>
            </w:r>
          </w:p>
        </w:tc>
      </w:tr>
      <w:tr w:rsidR="0030241C" w:rsidRPr="00907572" w:rsidTr="00351903">
        <w:trPr>
          <w:trHeight w:val="269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Проведення поточних ремонтів та утримання мереж зовнішнього освітлення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Зайцівського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Клинівського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lastRenderedPageBreak/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УРМГ та КБ, 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 «БККП»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lastRenderedPageBreak/>
              <w:t>бюджет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trike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Бахмут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ської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міської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територі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альної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3500,0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4500,0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85,0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35,0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5000,0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85,0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35,0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5500,0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60</w:t>
            </w:r>
            <w:r w:rsidRPr="0090757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lastRenderedPageBreak/>
              <w:t>24500</w:t>
            </w:r>
            <w:r w:rsidRPr="00907572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560,0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180,0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280,0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lastRenderedPageBreak/>
              <w:t xml:space="preserve">Щомісячне обслуговування 6,838 тис.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, 303,0 км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елек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, 78 од.,  пунктів керування, 78 од. шаф обліку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0,277 тис.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,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31,8 км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мереж, 24 од. шаф обліку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0,233 тис.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,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lastRenderedPageBreak/>
              <w:t xml:space="preserve">15,0 км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мереж, 5 од. шаф обліку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0,189 тис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, 10,0 км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мереж, 11 од. шаф обліку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0,114 тис.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10,0 км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мереж, 6 од. шаф обліку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</w:tr>
      <w:tr w:rsidR="0030241C" w:rsidRPr="00907572" w:rsidTr="00351903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Опитненського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УРМГ та КБ, 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ОСКП «Прогрес»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trike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810,0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0,173 тис.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, 9,235 км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елек</w:t>
            </w:r>
            <w:proofErr w:type="spellEnd"/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,  4 од. шаф обліку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</w:tr>
      <w:tr w:rsidR="0030241C" w:rsidRPr="00907572" w:rsidTr="00351903">
        <w:trPr>
          <w:trHeight w:val="355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13.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Сплата за спожиту електроенергію лініями зовнішнього освітлення </w:t>
            </w: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br/>
              <w:t xml:space="preserve">м.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Зайцівського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УРМГ та КБ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УРМГ та КБ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УРМГ та КБ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УРМГ та КБ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бюджет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Бахмут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ської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міської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територі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альної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5500,0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5500,0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60</w:t>
            </w:r>
            <w:r w:rsidRPr="0090757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65</w:t>
            </w:r>
            <w:r w:rsidRPr="0090757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7000,0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30500,0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660,0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560,0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br/>
              <w:t xml:space="preserve">8,0 млн.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.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0,25 млн.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.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0,20  млн.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.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0,15 млн.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.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</w:tr>
      <w:tr w:rsidR="0030241C" w:rsidRPr="00907572" w:rsidTr="00351903">
        <w:trPr>
          <w:trHeight w:val="5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41C" w:rsidRDefault="0030241C" w:rsidP="00351903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Клинівського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УРМГ та КБ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560,0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0,15 млн.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.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</w:tr>
      <w:tr w:rsidR="0030241C" w:rsidRPr="00907572" w:rsidTr="00351903">
        <w:trPr>
          <w:trHeight w:val="14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41C" w:rsidRDefault="0030241C" w:rsidP="00351903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Опитненського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УРМГ та КБ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ОСКП «Прогрес»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C07681" w:rsidRDefault="0030241C" w:rsidP="00351903">
            <w:pPr>
              <w:rPr>
                <w:lang w:val="uk-UA" w:eastAsia="en-US"/>
              </w:rPr>
            </w:pPr>
          </w:p>
          <w:p w:rsidR="0030241C" w:rsidRDefault="0030241C" w:rsidP="00351903">
            <w:pPr>
              <w:rPr>
                <w:lang w:val="uk-UA" w:eastAsia="en-US"/>
              </w:rPr>
            </w:pPr>
          </w:p>
          <w:p w:rsidR="0030241C" w:rsidRPr="00C07681" w:rsidRDefault="0030241C" w:rsidP="00351903">
            <w:pPr>
              <w:tabs>
                <w:tab w:val="left" w:pos="802"/>
              </w:tabs>
              <w:rPr>
                <w:lang w:val="uk-UA" w:eastAsia="en-US"/>
              </w:rPr>
            </w:pPr>
            <w:r>
              <w:rPr>
                <w:lang w:val="uk-UA" w:eastAsia="en-US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560,0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0,15 млн.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.</w:t>
            </w: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</w:tr>
      <w:tr w:rsidR="0030241C" w:rsidRPr="00907572" w:rsidTr="003519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Всього,</w:t>
            </w:r>
          </w:p>
          <w:p w:rsidR="0030241C" w:rsidRDefault="0030241C" w:rsidP="00351903">
            <w:pPr>
              <w:spacing w:line="276" w:lineRule="auto"/>
              <w:rPr>
                <w:b/>
                <w:sz w:val="16"/>
                <w:szCs w:val="16"/>
                <w:lang w:val="uk-UA" w:eastAsia="en-US"/>
              </w:rPr>
            </w:pPr>
          </w:p>
          <w:p w:rsidR="0030241C" w:rsidRDefault="0030241C" w:rsidP="00351903">
            <w:pPr>
              <w:spacing w:line="276" w:lineRule="auto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у тому числі: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кошти бюджету</w:t>
            </w:r>
          </w:p>
          <w:p w:rsidR="0030241C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Бахмут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ської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міської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територі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альної</w:t>
            </w:r>
            <w:proofErr w:type="spellEnd"/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 xml:space="preserve"> громади</w:t>
            </w:r>
          </w:p>
          <w:p w:rsidR="0030241C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21951,6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21921,6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16115,2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16080,2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13515,1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13475,1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14525,0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14480,0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Cs/>
                <w:color w:val="4F81BD" w:themeColor="accent1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15480,0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15430,0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Cs/>
                <w:color w:val="4F81BD" w:themeColor="accent1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81586,9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81386,9</w:t>
            </w: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0241C" w:rsidRPr="00907572" w:rsidRDefault="0030241C" w:rsidP="00351903">
            <w:pPr>
              <w:pStyle w:val="ad"/>
              <w:jc w:val="center"/>
              <w:rPr>
                <w:rFonts w:ascii="Times New Roman" w:hAnsi="Times New Roman" w:cs="Times New Roman"/>
                <w:bCs/>
                <w:color w:val="4F81BD" w:themeColor="accent1"/>
                <w:sz w:val="16"/>
                <w:szCs w:val="16"/>
                <w:lang w:val="uk-UA"/>
              </w:rPr>
            </w:pPr>
            <w:r w:rsidRPr="009075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Pr="00907572" w:rsidRDefault="0030241C" w:rsidP="00351903">
            <w:pPr>
              <w:pStyle w:val="ad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</w:p>
        </w:tc>
      </w:tr>
    </w:tbl>
    <w:p w:rsidR="0030241C" w:rsidRDefault="0030241C" w:rsidP="0030241C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0241C" w:rsidRDefault="0030241C" w:rsidP="0030241C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 зовнішнього освітлення території Бахмутської міської об’єднаної територіальної громади на 2021-2025 роки, затвердженої рішенням Бахмутської міської ради від 21.10.2020 № 6/148-3152, підготовлено Управлінням розвитку міського господарства та капітального будівництва Бахмутської міської ради</w:t>
      </w:r>
    </w:p>
    <w:p w:rsidR="0030241C" w:rsidRDefault="0030241C" w:rsidP="0030241C">
      <w:pPr>
        <w:ind w:left="9072"/>
        <w:rPr>
          <w:i/>
          <w:sz w:val="28"/>
          <w:szCs w:val="28"/>
          <w:lang w:val="uk-UA"/>
        </w:rPr>
      </w:pPr>
    </w:p>
    <w:p w:rsidR="0030241C" w:rsidRDefault="0030241C" w:rsidP="0030241C">
      <w:pPr>
        <w:ind w:left="9072"/>
        <w:rPr>
          <w:i/>
          <w:sz w:val="28"/>
          <w:szCs w:val="28"/>
          <w:lang w:val="uk-UA"/>
        </w:rPr>
      </w:pPr>
    </w:p>
    <w:p w:rsidR="0030241C" w:rsidRDefault="0030241C" w:rsidP="003024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 Бахмутської міської ради                                                                                   С.М. Гармаш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</w:p>
    <w:p w:rsidR="0030241C" w:rsidRDefault="0030241C" w:rsidP="0030241C">
      <w:pPr>
        <w:rPr>
          <w:b/>
          <w:sz w:val="28"/>
          <w:szCs w:val="28"/>
          <w:lang w:val="uk-UA"/>
        </w:rPr>
      </w:pPr>
    </w:p>
    <w:p w:rsidR="007D15FB" w:rsidRDefault="0030241C" w:rsidP="007D15FB">
      <w:pPr>
        <w:tabs>
          <w:tab w:val="left" w:pos="3068"/>
        </w:tabs>
        <w:rPr>
          <w:b/>
          <w:sz w:val="28"/>
          <w:szCs w:val="28"/>
          <w:lang w:val="uk-UA"/>
        </w:rPr>
        <w:sectPr w:rsidR="007D15FB" w:rsidSect="007D15FB">
          <w:headerReference w:type="default" r:id="rId10"/>
          <w:pgSz w:w="16838" w:h="11906" w:orient="landscape"/>
          <w:pgMar w:top="1276" w:right="907" w:bottom="567" w:left="907" w:header="709" w:footer="709" w:gutter="0"/>
          <w:pgNumType w:start="1"/>
          <w:cols w:space="720"/>
          <w:titlePg/>
          <w:docGrid w:linePitch="326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А.П. Касперська</w:t>
      </w:r>
    </w:p>
    <w:p w:rsidR="0030241C" w:rsidRDefault="0030241C" w:rsidP="007D15FB">
      <w:pPr>
        <w:tabs>
          <w:tab w:val="left" w:pos="3068"/>
        </w:tabs>
        <w:ind w:left="9099"/>
        <w:rPr>
          <w:i/>
          <w:lang w:val="uk-UA"/>
        </w:rPr>
      </w:pPr>
      <w:r>
        <w:rPr>
          <w:i/>
          <w:lang w:val="uk-UA"/>
        </w:rPr>
        <w:lastRenderedPageBreak/>
        <w:t>Додаток 2</w:t>
      </w:r>
    </w:p>
    <w:p w:rsidR="0030241C" w:rsidRDefault="0030241C" w:rsidP="0030241C">
      <w:pPr>
        <w:ind w:left="9072"/>
        <w:rPr>
          <w:i/>
          <w:lang w:val="uk-UA"/>
        </w:rPr>
      </w:pPr>
      <w:r>
        <w:rPr>
          <w:i/>
          <w:lang w:val="uk-UA"/>
        </w:rPr>
        <w:t>до Програми зовнішнього освітлення території Бахмутської міської об’єднаної територіальної громади на 2021-2025 роки, затвердженої рішенням</w:t>
      </w:r>
    </w:p>
    <w:p w:rsidR="0030241C" w:rsidRDefault="0030241C" w:rsidP="0030241C">
      <w:pPr>
        <w:ind w:left="9072"/>
        <w:rPr>
          <w:i/>
          <w:lang w:val="uk-UA"/>
        </w:rPr>
      </w:pPr>
      <w:r>
        <w:rPr>
          <w:i/>
          <w:lang w:val="uk-UA"/>
        </w:rPr>
        <w:t>Бахмутської міської ради від 21.10.2020 № 6/148-3152</w:t>
      </w:r>
    </w:p>
    <w:p w:rsidR="0030241C" w:rsidRDefault="0030241C" w:rsidP="0030241C">
      <w:pPr>
        <w:ind w:left="9072"/>
        <w:rPr>
          <w:i/>
          <w:lang w:val="uk-UA"/>
        </w:rPr>
      </w:pPr>
      <w:r>
        <w:rPr>
          <w:i/>
          <w:lang w:val="uk-UA"/>
        </w:rPr>
        <w:t xml:space="preserve">(Додаток 2 у редакції рішення Бахмутської міської ради від </w:t>
      </w:r>
      <w:r w:rsidR="009F211D">
        <w:rPr>
          <w:i/>
          <w:lang w:val="uk-UA"/>
        </w:rPr>
        <w:t>27</w:t>
      </w:r>
      <w:r w:rsidR="000D44B4">
        <w:rPr>
          <w:i/>
          <w:lang w:val="uk-UA"/>
        </w:rPr>
        <w:t>.01.2021 № 7/4-102</w:t>
      </w:r>
      <w:r>
        <w:rPr>
          <w:i/>
          <w:lang w:val="uk-UA"/>
        </w:rPr>
        <w:t>)</w:t>
      </w:r>
    </w:p>
    <w:p w:rsidR="0030241C" w:rsidRDefault="0030241C" w:rsidP="0030241C">
      <w:pPr>
        <w:ind w:firstLine="709"/>
        <w:jc w:val="center"/>
        <w:rPr>
          <w:b/>
          <w:sz w:val="28"/>
          <w:szCs w:val="28"/>
          <w:lang w:val="uk-UA"/>
        </w:rPr>
      </w:pPr>
    </w:p>
    <w:p w:rsidR="0030241C" w:rsidRDefault="0030241C" w:rsidP="0030241C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ПОКАЗНИКИ  РЕЗУЛЬТАТИВНОСТІ</w:t>
      </w:r>
      <w:proofErr w:type="gramEnd"/>
      <w:r>
        <w:rPr>
          <w:b/>
          <w:sz w:val="28"/>
          <w:szCs w:val="28"/>
        </w:rPr>
        <w:t xml:space="preserve">  ПРОГРАМИ</w:t>
      </w:r>
    </w:p>
    <w:p w:rsidR="0030241C" w:rsidRDefault="0030241C" w:rsidP="0030241C">
      <w:pPr>
        <w:ind w:firstLine="709"/>
        <w:jc w:val="center"/>
        <w:rPr>
          <w:b/>
          <w:sz w:val="28"/>
          <w:szCs w:val="28"/>
        </w:rPr>
      </w:pPr>
    </w:p>
    <w:tbl>
      <w:tblPr>
        <w:tblW w:w="1503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7"/>
        <w:gridCol w:w="5530"/>
        <w:gridCol w:w="1277"/>
        <w:gridCol w:w="1559"/>
        <w:gridCol w:w="1134"/>
        <w:gridCol w:w="1276"/>
        <w:gridCol w:w="1276"/>
        <w:gridCol w:w="1134"/>
        <w:gridCol w:w="1417"/>
      </w:tblGrid>
      <w:tr w:rsidR="0030241C" w:rsidTr="0035190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з/п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Назва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Одиниця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Вихідні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дані</w:t>
            </w:r>
            <w:proofErr w:type="spellEnd"/>
            <w:r>
              <w:rPr>
                <w:b/>
                <w:lang w:eastAsia="en-US"/>
              </w:rPr>
              <w:t xml:space="preserve"> на початок </w:t>
            </w:r>
            <w:proofErr w:type="spellStart"/>
            <w:r>
              <w:rPr>
                <w:b/>
                <w:lang w:eastAsia="en-US"/>
              </w:rPr>
              <w:t>дії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програми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І </w:t>
            </w:r>
            <w:proofErr w:type="spellStart"/>
            <w:r>
              <w:rPr>
                <w:b/>
                <w:lang w:eastAsia="en-US"/>
              </w:rPr>
              <w:t>етап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виконання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uk-UA" w:eastAsia="en-US"/>
              </w:rPr>
              <w:t>П</w:t>
            </w:r>
            <w:proofErr w:type="spellStart"/>
            <w:r>
              <w:rPr>
                <w:b/>
                <w:lang w:eastAsia="en-US"/>
              </w:rPr>
              <w:t>рограми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ІІ </w:t>
            </w:r>
            <w:proofErr w:type="spellStart"/>
            <w:r>
              <w:rPr>
                <w:b/>
                <w:lang w:eastAsia="en-US"/>
              </w:rPr>
              <w:t>етап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виконання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uk-UA" w:eastAsia="en-US"/>
              </w:rPr>
              <w:t>П</w:t>
            </w:r>
            <w:proofErr w:type="spellStart"/>
            <w:r>
              <w:rPr>
                <w:b/>
                <w:lang w:eastAsia="en-US"/>
              </w:rPr>
              <w:t>рограми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ІІІ </w:t>
            </w:r>
            <w:proofErr w:type="spellStart"/>
            <w:r>
              <w:rPr>
                <w:b/>
                <w:lang w:eastAsia="en-US"/>
              </w:rPr>
              <w:t>етап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виконання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uk-UA" w:eastAsia="en-US"/>
              </w:rPr>
              <w:t>П</w:t>
            </w:r>
            <w:proofErr w:type="spellStart"/>
            <w:r>
              <w:rPr>
                <w:b/>
                <w:lang w:eastAsia="en-US"/>
              </w:rPr>
              <w:t>рограми</w:t>
            </w:r>
            <w:proofErr w:type="spellEnd"/>
          </w:p>
        </w:tc>
      </w:tr>
      <w:tr w:rsidR="0030241C" w:rsidTr="003519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>
              <w:rPr>
                <w:b/>
                <w:lang w:val="uk-UA" w:eastAsia="en-US"/>
              </w:rPr>
              <w:t>21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рік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>
              <w:rPr>
                <w:b/>
                <w:lang w:val="uk-UA" w:eastAsia="en-US"/>
              </w:rPr>
              <w:t>22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рік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>
              <w:rPr>
                <w:b/>
                <w:lang w:val="uk-UA" w:eastAsia="en-US"/>
              </w:rPr>
              <w:t>23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рік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2024рік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2025 рік</w:t>
            </w:r>
          </w:p>
        </w:tc>
      </w:tr>
      <w:tr w:rsidR="0030241C" w:rsidTr="0035190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</w:tr>
      <w:tr w:rsidR="0030241C" w:rsidTr="00351903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І. </w:t>
            </w:r>
            <w:proofErr w:type="spellStart"/>
            <w:r>
              <w:rPr>
                <w:b/>
                <w:lang w:eastAsia="en-US"/>
              </w:rPr>
              <w:t>Показники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витрат</w:t>
            </w:r>
            <w:proofErr w:type="spellEnd"/>
          </w:p>
        </w:tc>
      </w:tr>
      <w:tr w:rsidR="0030241C" w:rsidTr="00351903">
        <w:trPr>
          <w:trHeight w:val="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Обсяг ресурсів, всього</w:t>
            </w:r>
          </w:p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тис.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21951,6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16115,2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13515,1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14525,0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15480,0</w:t>
            </w:r>
          </w:p>
        </w:tc>
      </w:tr>
      <w:tr w:rsidR="0030241C" w:rsidTr="00351903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ІІ  </w:t>
            </w:r>
            <w:proofErr w:type="spellStart"/>
            <w:r>
              <w:rPr>
                <w:b/>
                <w:lang w:eastAsia="en-US"/>
              </w:rPr>
              <w:t>Показники</w:t>
            </w:r>
            <w:proofErr w:type="spellEnd"/>
            <w:r>
              <w:rPr>
                <w:b/>
                <w:lang w:eastAsia="en-US"/>
              </w:rPr>
              <w:t xml:space="preserve"> продукту</w:t>
            </w:r>
          </w:p>
        </w:tc>
      </w:tr>
      <w:tr w:rsidR="0030241C" w:rsidTr="00351903"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Кількість </w:t>
            </w:r>
            <w:proofErr w:type="spellStart"/>
            <w:r>
              <w:rPr>
                <w:lang w:val="uk-UA" w:eastAsia="en-US"/>
              </w:rPr>
              <w:t>світлоточок</w:t>
            </w:r>
            <w:proofErr w:type="spellEnd"/>
            <w:r>
              <w:rPr>
                <w:lang w:val="uk-UA" w:eastAsia="en-US"/>
              </w:rPr>
              <w:t xml:space="preserve">, які планується встановити </w:t>
            </w:r>
          </w:p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</w:t>
            </w:r>
          </w:p>
        </w:tc>
      </w:tr>
      <w:tr w:rsidR="0030241C" w:rsidTr="00351903">
        <w:trPr>
          <w:trHeight w:val="7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Протяжність мереж зовнішнього освітлення, які планується прокласти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0,02</w:t>
            </w:r>
          </w:p>
        </w:tc>
      </w:tr>
      <w:tr w:rsidR="0030241C" w:rsidTr="00351903">
        <w:trPr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Кількість шаф управління, які планується відремонтувати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</w:t>
            </w:r>
          </w:p>
        </w:tc>
      </w:tr>
      <w:tr w:rsidR="0030241C" w:rsidTr="00351903">
        <w:trPr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Кількість ПКД, які планується виготовити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</w:tr>
      <w:tr w:rsidR="0030241C" w:rsidTr="00351903">
        <w:trPr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Кількість телескопічних підйомників, які планується придбати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30241C" w:rsidTr="00351903">
        <w:trPr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Кількість ілюмінації, яку планується встановити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30241C" w:rsidTr="00351903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ІІІ. </w:t>
            </w:r>
            <w:proofErr w:type="spellStart"/>
            <w:r>
              <w:rPr>
                <w:b/>
                <w:lang w:eastAsia="en-US"/>
              </w:rPr>
              <w:t>Показники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ефективності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</w:tc>
      </w:tr>
      <w:tr w:rsidR="0030241C" w:rsidTr="0035190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Динаміка зменшення кількості спожитої електроенергії</w:t>
            </w:r>
          </w:p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0,005</w:t>
            </w:r>
          </w:p>
        </w:tc>
      </w:tr>
      <w:tr w:rsidR="0030241C" w:rsidTr="00351903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ІV </w:t>
            </w:r>
            <w:proofErr w:type="spellStart"/>
            <w:r>
              <w:rPr>
                <w:b/>
                <w:lang w:eastAsia="en-US"/>
              </w:rPr>
              <w:t>Показники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якості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</w:tc>
      </w:tr>
      <w:tr w:rsidR="0030241C" w:rsidTr="0035190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Динаміка поліпшення естетичного стану території Бахмутської міської ОТГ порівняно з попереднім роком</w:t>
            </w:r>
          </w:p>
          <w:p w:rsidR="0030241C" w:rsidRDefault="0030241C" w:rsidP="00351903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</w:t>
            </w:r>
          </w:p>
        </w:tc>
      </w:tr>
    </w:tbl>
    <w:p w:rsidR="0030241C" w:rsidRDefault="0030241C" w:rsidP="0030241C">
      <w:pPr>
        <w:tabs>
          <w:tab w:val="left" w:pos="3068"/>
        </w:tabs>
        <w:rPr>
          <w:b/>
          <w:lang w:val="uk-UA"/>
        </w:rPr>
      </w:pPr>
    </w:p>
    <w:p w:rsidR="0030241C" w:rsidRDefault="0030241C" w:rsidP="0030241C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2 «Показники результативності Програми» до Програми зовнішнього освітлення території Бахмутської міської об’єднаної територіальної громади на 2021-2025 роки,</w:t>
      </w:r>
      <w:r w:rsidRPr="0047669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затвердженої рішенням Бахмутської міської ради від 21.10.2020 № 6/148-3152, підготовлено Управлінням розвитку міського господарства та капітального будівництва Бахмутської міської ради</w:t>
      </w:r>
    </w:p>
    <w:p w:rsidR="0030241C" w:rsidRDefault="0030241C" w:rsidP="0030241C">
      <w:pPr>
        <w:tabs>
          <w:tab w:val="left" w:pos="3068"/>
        </w:tabs>
        <w:rPr>
          <w:b/>
          <w:lang w:val="uk-UA"/>
        </w:rPr>
      </w:pPr>
    </w:p>
    <w:p w:rsidR="0030241C" w:rsidRDefault="0030241C" w:rsidP="0030241C">
      <w:pPr>
        <w:tabs>
          <w:tab w:val="left" w:pos="3068"/>
        </w:tabs>
        <w:rPr>
          <w:b/>
          <w:lang w:val="uk-UA"/>
        </w:rPr>
      </w:pPr>
    </w:p>
    <w:p w:rsidR="0030241C" w:rsidRDefault="0030241C" w:rsidP="0030241C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30241C" w:rsidRDefault="0030241C" w:rsidP="0030241C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 Бахмутської міської ради                                                                                    С.М. Гармаш</w:t>
      </w:r>
    </w:p>
    <w:p w:rsidR="0030241C" w:rsidRDefault="0030241C" w:rsidP="0030241C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30241C" w:rsidRDefault="0030241C" w:rsidP="0030241C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30241C" w:rsidRDefault="0030241C" w:rsidP="0030241C">
      <w:pPr>
        <w:tabs>
          <w:tab w:val="left" w:pos="3068"/>
        </w:tabs>
        <w:rPr>
          <w:b/>
          <w:sz w:val="28"/>
          <w:szCs w:val="28"/>
          <w:lang w:val="uk-UA"/>
        </w:rPr>
        <w:sectPr w:rsidR="0030241C" w:rsidSect="00D86728">
          <w:pgSz w:w="16838" w:h="11906" w:orient="landscape"/>
          <w:pgMar w:top="1276" w:right="907" w:bottom="709" w:left="907" w:header="709" w:footer="709" w:gutter="0"/>
          <w:pgNumType w:start="1"/>
          <w:cols w:space="720"/>
          <w:titlePg/>
          <w:docGrid w:linePitch="326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А.П. Касперська</w:t>
      </w:r>
    </w:p>
    <w:p w:rsidR="0030241C" w:rsidRDefault="0030241C" w:rsidP="0030241C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30241C" w:rsidRDefault="0030241C" w:rsidP="0030241C">
      <w:pPr>
        <w:ind w:left="4820"/>
        <w:rPr>
          <w:i/>
          <w:lang w:val="uk-UA"/>
        </w:rPr>
      </w:pPr>
      <w:r>
        <w:rPr>
          <w:i/>
          <w:lang w:val="uk-UA"/>
        </w:rPr>
        <w:t>до Програми зовнішнього освітлення території Бахмутської міської об’єднаної територіальної громади на 2021-2025 роки, затвердженої рішенням Бахмутської міської ради від 21.10.2020  № 6/148-3152</w:t>
      </w:r>
    </w:p>
    <w:p w:rsidR="0030241C" w:rsidRDefault="0030241C" w:rsidP="0030241C">
      <w:pPr>
        <w:ind w:left="4820"/>
        <w:rPr>
          <w:i/>
          <w:lang w:val="uk-UA"/>
        </w:rPr>
      </w:pPr>
      <w:r>
        <w:rPr>
          <w:i/>
          <w:lang w:val="uk-UA"/>
        </w:rPr>
        <w:t xml:space="preserve">(Додаток 3 у редакції рішення Бахмутської міської ради від </w:t>
      </w:r>
      <w:r w:rsidR="000C5FD1">
        <w:rPr>
          <w:i/>
          <w:lang w:val="uk-UA"/>
        </w:rPr>
        <w:t>27</w:t>
      </w:r>
      <w:r w:rsidR="000D44B4">
        <w:rPr>
          <w:i/>
          <w:lang w:val="uk-UA"/>
        </w:rPr>
        <w:t>.01.2021 № 7/4-102</w:t>
      </w:r>
      <w:r>
        <w:rPr>
          <w:i/>
          <w:lang w:val="uk-UA"/>
        </w:rPr>
        <w:t xml:space="preserve">)                                                                                                                  </w:t>
      </w:r>
    </w:p>
    <w:p w:rsidR="0030241C" w:rsidRDefault="0030241C" w:rsidP="0030241C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30241C" w:rsidRDefault="0030241C" w:rsidP="0030241C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30241C" w:rsidRDefault="0030241C" w:rsidP="0030241C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30241C" w:rsidTr="00351903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Всього витрат на виконання програми</w:t>
            </w:r>
          </w:p>
        </w:tc>
      </w:tr>
      <w:tr w:rsidR="0030241C" w:rsidTr="00351903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rFonts w:ascii="Times New Roman CYR" w:hAnsi="Times New Roman CYR"/>
                <w:b/>
                <w:color w:val="000000"/>
                <w:lang w:val="uk-UA"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ІІІ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rFonts w:ascii="Times New Roman CYR" w:hAnsi="Times New Roman CYR"/>
                <w:b/>
                <w:color w:val="000000"/>
                <w:lang w:val="uk-UA" w:eastAsia="en-US"/>
              </w:rPr>
            </w:pPr>
          </w:p>
        </w:tc>
      </w:tr>
      <w:tr w:rsidR="0030241C" w:rsidTr="00351903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rFonts w:ascii="Times New Roman CYR" w:hAnsi="Times New Roman CYR"/>
                <w:b/>
                <w:color w:val="00000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2021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2022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2023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2024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2025 рік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rPr>
                <w:rFonts w:ascii="Times New Roman CYR" w:hAnsi="Times New Roman CYR"/>
                <w:b/>
                <w:color w:val="000000"/>
                <w:lang w:val="uk-UA" w:eastAsia="en-US"/>
              </w:rPr>
            </w:pPr>
          </w:p>
        </w:tc>
      </w:tr>
      <w:tr w:rsidR="0030241C" w:rsidTr="003519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7</w:t>
            </w:r>
          </w:p>
        </w:tc>
      </w:tr>
      <w:tr w:rsidR="0030241C" w:rsidTr="003519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Обсяг ресурсів, всього,</w:t>
            </w:r>
          </w:p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21951,6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16115,2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13515,1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14525,0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15480,0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81586,9</w:t>
            </w:r>
          </w:p>
        </w:tc>
      </w:tr>
      <w:tr w:rsidR="0030241C" w:rsidTr="003519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30241C" w:rsidTr="003519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30241C" w:rsidTr="003519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7151EA" w:rsidP="00351903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бюджет Бахмутської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21921,6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16080,2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13475,1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15430,0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81386,9</w:t>
            </w:r>
          </w:p>
        </w:tc>
      </w:tr>
      <w:tr w:rsidR="0030241C" w:rsidTr="003519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>кошти інших джерел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1C" w:rsidRDefault="0030241C" w:rsidP="0035190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200,0</w:t>
            </w:r>
          </w:p>
        </w:tc>
      </w:tr>
    </w:tbl>
    <w:p w:rsidR="0030241C" w:rsidRDefault="0030241C" w:rsidP="0030241C">
      <w:pPr>
        <w:rPr>
          <w:lang w:val="uk-UA"/>
        </w:rPr>
      </w:pPr>
    </w:p>
    <w:p w:rsidR="0030241C" w:rsidRDefault="0030241C" w:rsidP="0030241C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3 «Ресурсне забезпечення Програми» до Програми зовнішнього освітлення території Бахмутської міської об’єднаної територіальної громади на 2021-2025 роки, затвердженої рішенням Бахмутської міської ради від 21.10.2020 № 6/148-3152, підготовлено Управлінням розвитку міського господарства та капітального будівництва Бахмутської міської ради</w:t>
      </w:r>
    </w:p>
    <w:p w:rsidR="0030241C" w:rsidRDefault="0030241C" w:rsidP="0030241C">
      <w:pPr>
        <w:rPr>
          <w:sz w:val="28"/>
          <w:szCs w:val="28"/>
          <w:lang w:val="uk-UA"/>
        </w:rPr>
      </w:pPr>
    </w:p>
    <w:p w:rsidR="0030241C" w:rsidRDefault="0030241C" w:rsidP="0030241C">
      <w:pPr>
        <w:rPr>
          <w:sz w:val="28"/>
          <w:szCs w:val="28"/>
          <w:lang w:val="uk-UA"/>
        </w:rPr>
      </w:pPr>
    </w:p>
    <w:p w:rsidR="0030241C" w:rsidRDefault="0030241C" w:rsidP="0030241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 Управління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міського господарства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 міської ради                                                        С.М. Гармаш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</w:p>
    <w:p w:rsidR="0030241C" w:rsidRDefault="0030241C" w:rsidP="0030241C">
      <w:pPr>
        <w:rPr>
          <w:b/>
          <w:sz w:val="28"/>
          <w:szCs w:val="28"/>
          <w:lang w:val="uk-UA"/>
        </w:rPr>
      </w:pPr>
    </w:p>
    <w:p w:rsidR="0030241C" w:rsidRPr="00071B08" w:rsidRDefault="0030241C" w:rsidP="0030241C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>
        <w:rPr>
          <w:b/>
          <w:sz w:val="28"/>
          <w:szCs w:val="28"/>
          <w:lang w:val="uk-UA"/>
        </w:rPr>
        <w:t xml:space="preserve"> міської ради                                     А.П. Касперська</w:t>
      </w:r>
    </w:p>
    <w:p w:rsidR="0030241C" w:rsidRDefault="0030241C" w:rsidP="0030241C">
      <w:pPr>
        <w:rPr>
          <w:b/>
          <w:sz w:val="28"/>
          <w:szCs w:val="28"/>
          <w:lang w:val="uk-UA"/>
        </w:rPr>
      </w:pPr>
    </w:p>
    <w:p w:rsidR="0030241C" w:rsidRPr="00071B08" w:rsidRDefault="0030241C" w:rsidP="0030241C">
      <w:pPr>
        <w:tabs>
          <w:tab w:val="left" w:pos="3068"/>
        </w:tabs>
        <w:rPr>
          <w:sz w:val="28"/>
          <w:szCs w:val="28"/>
          <w:lang w:val="uk-UA"/>
        </w:rPr>
      </w:pPr>
    </w:p>
    <w:sectPr w:rsidR="0030241C" w:rsidRPr="00071B08" w:rsidSect="00D867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1D7" w:rsidRDefault="005641D7" w:rsidP="0030241C">
      <w:r>
        <w:separator/>
      </w:r>
    </w:p>
  </w:endnote>
  <w:endnote w:type="continuationSeparator" w:id="0">
    <w:p w:rsidR="005641D7" w:rsidRDefault="005641D7" w:rsidP="0030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1D7" w:rsidRDefault="005641D7" w:rsidP="0030241C">
      <w:r>
        <w:separator/>
      </w:r>
    </w:p>
  </w:footnote>
  <w:footnote w:type="continuationSeparator" w:id="0">
    <w:p w:rsidR="005641D7" w:rsidRDefault="005641D7" w:rsidP="00302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606597"/>
      <w:docPartObj>
        <w:docPartGallery w:val="Page Numbers (Top of Page)"/>
        <w:docPartUnique/>
      </w:docPartObj>
    </w:sdtPr>
    <w:sdtEndPr/>
    <w:sdtContent>
      <w:p w:rsidR="00351903" w:rsidRDefault="003519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631">
          <w:rPr>
            <w:noProof/>
          </w:rPr>
          <w:t>2</w:t>
        </w:r>
        <w:r>
          <w:fldChar w:fldCharType="end"/>
        </w:r>
      </w:p>
    </w:sdtContent>
  </w:sdt>
  <w:p w:rsidR="00351903" w:rsidRDefault="003519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903" w:rsidRDefault="00351903" w:rsidP="00C17334">
    <w:pPr>
      <w:pStyle w:val="a4"/>
      <w:tabs>
        <w:tab w:val="clear" w:pos="4677"/>
        <w:tab w:val="clear" w:pos="9355"/>
        <w:tab w:val="left" w:pos="82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903" w:rsidRPr="00866EE6" w:rsidRDefault="00351903" w:rsidP="00866EE6">
    <w:pPr>
      <w:pStyle w:val="a4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F2DEE"/>
    <w:multiLevelType w:val="hybridMultilevel"/>
    <w:tmpl w:val="A2D09A66"/>
    <w:lvl w:ilvl="0" w:tplc="0368E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BB"/>
    <w:rsid w:val="000C5FD1"/>
    <w:rsid w:val="000D44B4"/>
    <w:rsid w:val="001049B6"/>
    <w:rsid w:val="0015042A"/>
    <w:rsid w:val="001A14E5"/>
    <w:rsid w:val="00203262"/>
    <w:rsid w:val="00273DD9"/>
    <w:rsid w:val="00276885"/>
    <w:rsid w:val="0030241C"/>
    <w:rsid w:val="00351903"/>
    <w:rsid w:val="00366BFA"/>
    <w:rsid w:val="0039155A"/>
    <w:rsid w:val="003C688D"/>
    <w:rsid w:val="0047669D"/>
    <w:rsid w:val="004E0139"/>
    <w:rsid w:val="005641D7"/>
    <w:rsid w:val="005D25C5"/>
    <w:rsid w:val="006E44F2"/>
    <w:rsid w:val="006F2BDD"/>
    <w:rsid w:val="007151EA"/>
    <w:rsid w:val="007677B3"/>
    <w:rsid w:val="00785661"/>
    <w:rsid w:val="007A587B"/>
    <w:rsid w:val="007D15FB"/>
    <w:rsid w:val="00865938"/>
    <w:rsid w:val="00866EE6"/>
    <w:rsid w:val="00975443"/>
    <w:rsid w:val="009C6C33"/>
    <w:rsid w:val="009F211D"/>
    <w:rsid w:val="00A259BB"/>
    <w:rsid w:val="00A26F6D"/>
    <w:rsid w:val="00A443B4"/>
    <w:rsid w:val="00B10783"/>
    <w:rsid w:val="00B75124"/>
    <w:rsid w:val="00C17334"/>
    <w:rsid w:val="00CD23C2"/>
    <w:rsid w:val="00CD4F5F"/>
    <w:rsid w:val="00D11BAD"/>
    <w:rsid w:val="00D3481B"/>
    <w:rsid w:val="00D67D00"/>
    <w:rsid w:val="00D758D2"/>
    <w:rsid w:val="00D86728"/>
    <w:rsid w:val="00D94631"/>
    <w:rsid w:val="00DB226F"/>
    <w:rsid w:val="00E24D82"/>
    <w:rsid w:val="00F7128A"/>
    <w:rsid w:val="00FD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D95C0"/>
  <w15:docId w15:val="{8426038D-C9A3-40A4-83A7-74652B95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259BB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A259B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259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A25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A25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A259BB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A25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A259B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A259BB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A259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A25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A259BB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A25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rsid w:val="00A259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 Indent"/>
    <w:basedOn w:val="a"/>
    <w:link w:val="a9"/>
    <w:uiPriority w:val="99"/>
    <w:rsid w:val="00A259BB"/>
    <w:pPr>
      <w:ind w:firstLine="720"/>
      <w:jc w:val="both"/>
    </w:pPr>
    <w:rPr>
      <w:lang w:val="uk-UA"/>
    </w:rPr>
  </w:style>
  <w:style w:type="character" w:customStyle="1" w:styleId="12">
    <w:name w:val="Основной текст с отступом Знак1"/>
    <w:basedOn w:val="a0"/>
    <w:uiPriority w:val="99"/>
    <w:semiHidden/>
    <w:rsid w:val="00A25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A259BB"/>
    <w:pPr>
      <w:spacing w:before="100" w:beforeAutospacing="1" w:after="100" w:afterAutospacing="1"/>
    </w:pPr>
    <w:rPr>
      <w:lang w:val="uk-UA"/>
    </w:rPr>
  </w:style>
  <w:style w:type="paragraph" w:styleId="ac">
    <w:name w:val="List Paragraph"/>
    <w:basedOn w:val="a"/>
    <w:uiPriority w:val="34"/>
    <w:qFormat/>
    <w:rsid w:val="00A259BB"/>
    <w:pPr>
      <w:ind w:left="720"/>
      <w:contextualSpacing/>
    </w:pPr>
  </w:style>
  <w:style w:type="paragraph" w:styleId="ad">
    <w:name w:val="No Spacing"/>
    <w:uiPriority w:val="1"/>
    <w:qFormat/>
    <w:rsid w:val="00A259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18</cp:revision>
  <cp:lastPrinted>2021-01-19T06:44:00Z</cp:lastPrinted>
  <dcterms:created xsi:type="dcterms:W3CDTF">2021-01-12T10:32:00Z</dcterms:created>
  <dcterms:modified xsi:type="dcterms:W3CDTF">2021-02-01T06:54:00Z</dcterms:modified>
</cp:coreProperties>
</file>