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32C" w:rsidRPr="0087632C" w:rsidRDefault="0087632C" w:rsidP="0087632C">
      <w:pPr>
        <w:ind w:left="1416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63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АНАЛІЗ РЕГУЛЯТОРНОГО ВПЛИВУ </w:t>
      </w:r>
    </w:p>
    <w:p w:rsidR="0087632C" w:rsidRPr="0087632C" w:rsidRDefault="0087632C" w:rsidP="0087632C">
      <w:pPr>
        <w:pStyle w:val="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32C">
        <w:rPr>
          <w:rFonts w:ascii="Times New Roman" w:hAnsi="Times New Roman" w:cs="Times New Roman"/>
          <w:b/>
          <w:sz w:val="28"/>
          <w:szCs w:val="28"/>
        </w:rPr>
        <w:t xml:space="preserve">проекту рішення Бахмутської міської ради </w:t>
      </w:r>
      <w:r w:rsidRPr="0087632C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87632C">
        <w:rPr>
          <w:rStyle w:val="22"/>
          <w:rFonts w:eastAsiaTheme="minorHAnsi"/>
          <w:i w:val="0"/>
          <w:color w:val="auto"/>
        </w:rPr>
        <w:t>Про затвердження</w:t>
      </w:r>
      <w:r w:rsidRPr="0087632C">
        <w:rPr>
          <w:rStyle w:val="22"/>
          <w:rFonts w:eastAsiaTheme="minorHAnsi"/>
          <w:b w:val="0"/>
          <w:color w:val="auto"/>
        </w:rPr>
        <w:t xml:space="preserve"> </w:t>
      </w:r>
      <w:r w:rsidRPr="0087632C">
        <w:rPr>
          <w:rFonts w:ascii="Times New Roman" w:hAnsi="Times New Roman" w:cs="Times New Roman"/>
          <w:b/>
          <w:sz w:val="28"/>
          <w:szCs w:val="28"/>
        </w:rPr>
        <w:t>Порядку подання та розгляду заяв про включення об’єктів права комунальної власності Бахмутської міської  територіальної громади до переліку об’єктів, що підлягають  приватизації»</w:t>
      </w:r>
    </w:p>
    <w:p w:rsidR="0087632C" w:rsidRPr="0087632C" w:rsidRDefault="0087632C" w:rsidP="0087632C">
      <w:pPr>
        <w:pStyle w:val="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32C" w:rsidRPr="0087632C" w:rsidRDefault="0087632C" w:rsidP="00F71F23">
      <w:pPr>
        <w:ind w:left="426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632C">
        <w:rPr>
          <w:rFonts w:ascii="Times New Roman" w:hAnsi="Times New Roman" w:cs="Times New Roman"/>
          <w:b/>
          <w:sz w:val="28"/>
          <w:szCs w:val="28"/>
          <w:lang w:val="uk-UA"/>
        </w:rPr>
        <w:t>I. Визначення проблеми</w:t>
      </w:r>
      <w:r w:rsidRPr="00876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17BA0" w:rsidRDefault="0087632C" w:rsidP="00E21EB9">
      <w:pPr>
        <w:pStyle w:val="21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632C">
        <w:rPr>
          <w:rFonts w:ascii="Times New Roman" w:hAnsi="Times New Roman" w:cs="Times New Roman"/>
          <w:sz w:val="28"/>
          <w:szCs w:val="28"/>
        </w:rPr>
        <w:t xml:space="preserve">Проект рішення Бахмутської міської ради </w:t>
      </w:r>
      <w:r w:rsidRPr="0087632C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87632C">
        <w:rPr>
          <w:rStyle w:val="22"/>
          <w:rFonts w:eastAsiaTheme="minorHAnsi"/>
          <w:b w:val="0"/>
          <w:i w:val="0"/>
          <w:color w:val="auto"/>
        </w:rPr>
        <w:t>Про затвердження</w:t>
      </w:r>
      <w:r w:rsidRPr="0087632C">
        <w:rPr>
          <w:rStyle w:val="22"/>
          <w:rFonts w:eastAsiaTheme="minorHAnsi"/>
          <w:color w:val="auto"/>
        </w:rPr>
        <w:t xml:space="preserve"> </w:t>
      </w:r>
      <w:r w:rsidRPr="0087632C">
        <w:rPr>
          <w:rFonts w:ascii="Times New Roman" w:hAnsi="Times New Roman" w:cs="Times New Roman"/>
          <w:sz w:val="28"/>
          <w:szCs w:val="28"/>
        </w:rPr>
        <w:t>Порядку подання та розгляду заяв про включення об’єктів права комунальної власності Бахмутської міської територіальної громади до переліку об’єктів, що підлягають  приватизації»  (далі – Проект рішення) розроблено відповідно до вимог Закону України від 18 січня 2018 року   № 2269-VIII «Про приватизацію державного і комунального майна» (далі – Закон).</w:t>
      </w:r>
      <w:r w:rsidR="00E17B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130" w:rsidRDefault="0087632C" w:rsidP="00E21EB9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632C">
        <w:rPr>
          <w:rFonts w:ascii="Times New Roman" w:hAnsi="Times New Roman" w:cs="Times New Roman"/>
          <w:sz w:val="28"/>
          <w:szCs w:val="28"/>
        </w:rPr>
        <w:t xml:space="preserve">Частиною сьомою статті 11 Закону передбачено, що порядок подання заяв про включення об’єктів права </w:t>
      </w:r>
      <w:r>
        <w:rPr>
          <w:rFonts w:ascii="Times New Roman" w:hAnsi="Times New Roman" w:cs="Times New Roman"/>
          <w:sz w:val="28"/>
          <w:szCs w:val="28"/>
        </w:rPr>
        <w:t>комунальної</w:t>
      </w:r>
      <w:r w:rsidRPr="0087632C">
        <w:rPr>
          <w:rFonts w:ascii="Times New Roman" w:hAnsi="Times New Roman" w:cs="Times New Roman"/>
          <w:sz w:val="28"/>
          <w:szCs w:val="28"/>
        </w:rPr>
        <w:t xml:space="preserve"> власності до переліку об’єктів</w:t>
      </w:r>
      <w:r w:rsidR="00C93130">
        <w:rPr>
          <w:rFonts w:ascii="Times New Roman" w:hAnsi="Times New Roman" w:cs="Times New Roman"/>
          <w:sz w:val="28"/>
          <w:szCs w:val="28"/>
        </w:rPr>
        <w:t>,</w:t>
      </w:r>
      <w:r w:rsidRPr="0087632C">
        <w:rPr>
          <w:rFonts w:ascii="Times New Roman" w:hAnsi="Times New Roman" w:cs="Times New Roman"/>
          <w:sz w:val="28"/>
          <w:szCs w:val="28"/>
        </w:rPr>
        <w:t xml:space="preserve"> що підлягають приватизації, встановлюється </w:t>
      </w:r>
      <w:r>
        <w:rPr>
          <w:rFonts w:ascii="Times New Roman" w:hAnsi="Times New Roman" w:cs="Times New Roman"/>
          <w:sz w:val="28"/>
          <w:szCs w:val="28"/>
        </w:rPr>
        <w:t>місцевою радою.</w:t>
      </w:r>
      <w:r w:rsidR="00E17BA0">
        <w:rPr>
          <w:rFonts w:ascii="Times New Roman" w:hAnsi="Times New Roman" w:cs="Times New Roman"/>
          <w:sz w:val="28"/>
          <w:szCs w:val="28"/>
        </w:rPr>
        <w:t xml:space="preserve"> </w:t>
      </w:r>
      <w:r w:rsidRPr="0087632C">
        <w:rPr>
          <w:rFonts w:ascii="Times New Roman" w:hAnsi="Times New Roman" w:cs="Times New Roman"/>
          <w:sz w:val="28"/>
          <w:szCs w:val="28"/>
        </w:rPr>
        <w:t xml:space="preserve">Із набранням чинності Законом змінюється механізм подання заяв про включення до переліку об’єктів, що підлягають приватизації, який з урахуванням нової класифікації об’єктів приватизації буде поширюватись на об’єкти великої та малої приватизації. Тому виникла необхідність розроблення Порядку </w:t>
      </w:r>
      <w:r w:rsidR="00C93130" w:rsidRPr="0087632C">
        <w:rPr>
          <w:rFonts w:ascii="Times New Roman" w:hAnsi="Times New Roman" w:cs="Times New Roman"/>
          <w:sz w:val="28"/>
          <w:szCs w:val="28"/>
        </w:rPr>
        <w:t xml:space="preserve">подання та розгляду заяв про включення об’єктів права комунальної власності Бахмутської міської територіальної громади до переліку об’єктів, що підлягають  приватизації </w:t>
      </w:r>
      <w:r w:rsidRPr="0087632C">
        <w:rPr>
          <w:rFonts w:ascii="Times New Roman" w:hAnsi="Times New Roman" w:cs="Times New Roman"/>
          <w:sz w:val="28"/>
          <w:szCs w:val="28"/>
        </w:rPr>
        <w:t>(далі – Порядок).</w:t>
      </w:r>
      <w:r w:rsidR="00C9313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87632C">
        <w:rPr>
          <w:rFonts w:ascii="Times New Roman" w:hAnsi="Times New Roman" w:cs="Times New Roman"/>
          <w:sz w:val="28"/>
          <w:szCs w:val="28"/>
        </w:rPr>
        <w:t xml:space="preserve"> </w:t>
      </w:r>
      <w:r w:rsidR="00C931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130" w:rsidRDefault="0087632C" w:rsidP="00E21EB9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632C">
        <w:rPr>
          <w:rFonts w:ascii="Times New Roman" w:hAnsi="Times New Roman" w:cs="Times New Roman"/>
          <w:sz w:val="28"/>
          <w:szCs w:val="28"/>
        </w:rPr>
        <w:t xml:space="preserve">Проблема, яку пропонується врегулювати шляхом державного регулювання – визначення процедури </w:t>
      </w:r>
      <w:r w:rsidR="00C93130" w:rsidRPr="0087632C">
        <w:rPr>
          <w:rFonts w:ascii="Times New Roman" w:hAnsi="Times New Roman" w:cs="Times New Roman"/>
          <w:sz w:val="28"/>
          <w:szCs w:val="28"/>
        </w:rPr>
        <w:t xml:space="preserve">подання та розгляду заяв про включення об’єктів права комунальної власності Бахмутської міської  територіальної громади до переліку об’єктів, що підлягають  приватизації </w:t>
      </w:r>
      <w:r w:rsidRPr="0087632C">
        <w:rPr>
          <w:rFonts w:ascii="Times New Roman" w:hAnsi="Times New Roman" w:cs="Times New Roman"/>
          <w:sz w:val="28"/>
          <w:szCs w:val="28"/>
        </w:rPr>
        <w:t xml:space="preserve">до відповідного переліку об’єктів великої або малої приватизації, що підлягають приватизації. Проектом </w:t>
      </w:r>
      <w:r w:rsidR="00C93130">
        <w:rPr>
          <w:rFonts w:ascii="Times New Roman" w:hAnsi="Times New Roman" w:cs="Times New Roman"/>
          <w:sz w:val="28"/>
          <w:szCs w:val="28"/>
        </w:rPr>
        <w:t>рішення</w:t>
      </w:r>
      <w:r w:rsidRPr="0087632C">
        <w:rPr>
          <w:rFonts w:ascii="Times New Roman" w:hAnsi="Times New Roman" w:cs="Times New Roman"/>
          <w:sz w:val="28"/>
          <w:szCs w:val="28"/>
        </w:rPr>
        <w:t xml:space="preserve"> передбачається затвердження Порядку</w:t>
      </w:r>
      <w:r w:rsidR="00C93130">
        <w:rPr>
          <w:rFonts w:ascii="Times New Roman" w:hAnsi="Times New Roman" w:cs="Times New Roman"/>
          <w:sz w:val="28"/>
          <w:szCs w:val="28"/>
        </w:rPr>
        <w:t>.</w:t>
      </w:r>
    </w:p>
    <w:p w:rsidR="00C93130" w:rsidRPr="00C93130" w:rsidRDefault="0087632C" w:rsidP="00C93130">
      <w:pPr>
        <w:shd w:val="clear" w:color="auto" w:fill="FFFFFF"/>
        <w:spacing w:after="0" w:line="240" w:lineRule="auto"/>
        <w:ind w:firstLine="5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876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313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87632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частин </w:t>
      </w:r>
      <w:r w:rsidR="00C93130" w:rsidRPr="00C93130">
        <w:rPr>
          <w:rFonts w:ascii="Times New Roman" w:hAnsi="Times New Roman" w:cs="Times New Roman"/>
          <w:sz w:val="28"/>
          <w:szCs w:val="28"/>
          <w:lang w:val="uk-UA"/>
        </w:rPr>
        <w:t>четвертої</w:t>
      </w:r>
      <w:r w:rsidRPr="0087632C">
        <w:rPr>
          <w:rFonts w:ascii="Times New Roman" w:hAnsi="Times New Roman" w:cs="Times New Roman"/>
          <w:sz w:val="28"/>
          <w:szCs w:val="28"/>
          <w:lang w:val="uk-UA"/>
        </w:rPr>
        <w:t xml:space="preserve"> статті 11 Закону </w:t>
      </w:r>
      <w:r w:rsidR="00C93130" w:rsidRPr="00C931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Перелік об’єктів комунальної власності, що підлягають приватизації, ухвалюється місцевою радою. Включення нових об’єктів до цього переліку здійснюється шляхом ухвалення окремого рішення щодо кожного об’єкта комунальної власності.</w:t>
      </w:r>
    </w:p>
    <w:p w:rsidR="009445B3" w:rsidRDefault="0087632C" w:rsidP="00E21EB9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45B3">
        <w:rPr>
          <w:rFonts w:ascii="Times New Roman" w:hAnsi="Times New Roman" w:cs="Times New Roman"/>
          <w:sz w:val="28"/>
          <w:szCs w:val="28"/>
        </w:rPr>
        <w:t xml:space="preserve">З огляду на те, що запроваджується нова процедура подання та розгляду заяв про включення об’єктів права </w:t>
      </w:r>
      <w:r w:rsidR="009445B3" w:rsidRPr="009445B3">
        <w:rPr>
          <w:rFonts w:ascii="Times New Roman" w:hAnsi="Times New Roman" w:cs="Times New Roman"/>
          <w:sz w:val="28"/>
          <w:szCs w:val="28"/>
        </w:rPr>
        <w:t xml:space="preserve">комунальної </w:t>
      </w:r>
      <w:r w:rsidRPr="009445B3">
        <w:rPr>
          <w:rFonts w:ascii="Times New Roman" w:hAnsi="Times New Roman" w:cs="Times New Roman"/>
          <w:sz w:val="28"/>
          <w:szCs w:val="28"/>
        </w:rPr>
        <w:t>власності до переліків об’єктів великої або малої приватизації, що підлягають приватизації, у цифровому вимірі оцінити проблему</w:t>
      </w:r>
      <w:r w:rsidR="009445B3" w:rsidRPr="009445B3">
        <w:rPr>
          <w:rFonts w:ascii="Times New Roman" w:hAnsi="Times New Roman" w:cs="Times New Roman"/>
          <w:sz w:val="28"/>
          <w:szCs w:val="28"/>
        </w:rPr>
        <w:t xml:space="preserve"> щодо об’єктів великої</w:t>
      </w:r>
      <w:r w:rsidRPr="009445B3">
        <w:rPr>
          <w:rFonts w:ascii="Times New Roman" w:hAnsi="Times New Roman" w:cs="Times New Roman"/>
          <w:sz w:val="28"/>
          <w:szCs w:val="28"/>
        </w:rPr>
        <w:t xml:space="preserve"> </w:t>
      </w:r>
      <w:r w:rsidR="009445B3">
        <w:rPr>
          <w:rFonts w:ascii="Times New Roman" w:hAnsi="Times New Roman" w:cs="Times New Roman"/>
          <w:sz w:val="28"/>
          <w:szCs w:val="28"/>
        </w:rPr>
        <w:t xml:space="preserve"> приватизації </w:t>
      </w:r>
      <w:r w:rsidRPr="009445B3">
        <w:rPr>
          <w:rFonts w:ascii="Times New Roman" w:hAnsi="Times New Roman" w:cs="Times New Roman"/>
          <w:sz w:val="28"/>
          <w:szCs w:val="28"/>
        </w:rPr>
        <w:t>немає можливості, оскільки спрогнозувати, які саме суб’єкти господарювання</w:t>
      </w:r>
      <w:r w:rsidR="009445B3">
        <w:rPr>
          <w:rFonts w:ascii="Times New Roman" w:hAnsi="Times New Roman" w:cs="Times New Roman"/>
          <w:sz w:val="28"/>
          <w:szCs w:val="28"/>
        </w:rPr>
        <w:t>,</w:t>
      </w:r>
      <w:r w:rsidRPr="009445B3">
        <w:rPr>
          <w:rFonts w:ascii="Times New Roman" w:hAnsi="Times New Roman" w:cs="Times New Roman"/>
          <w:sz w:val="28"/>
          <w:szCs w:val="28"/>
        </w:rPr>
        <w:t xml:space="preserve"> як потенційні покупці виявляють заінтересованість до включення об’єктів до переліку</w:t>
      </w:r>
      <w:r w:rsidR="009445B3" w:rsidRPr="009445B3">
        <w:rPr>
          <w:rFonts w:ascii="Times New Roman" w:hAnsi="Times New Roman" w:cs="Times New Roman"/>
          <w:sz w:val="28"/>
          <w:szCs w:val="28"/>
        </w:rPr>
        <w:t xml:space="preserve"> об'єктів великої приватизації</w:t>
      </w:r>
      <w:r w:rsidRPr="009445B3">
        <w:rPr>
          <w:rFonts w:ascii="Times New Roman" w:hAnsi="Times New Roman" w:cs="Times New Roman"/>
          <w:sz w:val="28"/>
          <w:szCs w:val="28"/>
        </w:rPr>
        <w:t xml:space="preserve">, не вбачається можливим. </w:t>
      </w:r>
      <w:r w:rsidR="009445B3">
        <w:rPr>
          <w:rFonts w:ascii="Times New Roman" w:hAnsi="Times New Roman" w:cs="Times New Roman"/>
          <w:sz w:val="28"/>
          <w:szCs w:val="28"/>
        </w:rPr>
        <w:t xml:space="preserve">Оцінити </w:t>
      </w:r>
      <w:r w:rsidRPr="009445B3">
        <w:rPr>
          <w:rFonts w:ascii="Times New Roman" w:hAnsi="Times New Roman" w:cs="Times New Roman"/>
          <w:sz w:val="28"/>
          <w:szCs w:val="28"/>
        </w:rPr>
        <w:t>Таким чином основні групи (підгрупи), на які проблема справляє вплив:</w:t>
      </w:r>
      <w:r w:rsidR="009445B3">
        <w:rPr>
          <w:rFonts w:ascii="Times New Roman" w:hAnsi="Times New Roman" w:cs="Times New Roman"/>
          <w:sz w:val="28"/>
          <w:szCs w:val="28"/>
        </w:rPr>
        <w:t xml:space="preserve"> можливо тільки до об'єктів малої приватизації</w:t>
      </w:r>
      <w:r w:rsidRPr="009445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46C" w:rsidRDefault="0025546C" w:rsidP="00E17BA0">
      <w:pPr>
        <w:pStyle w:val="21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2740"/>
        <w:gridCol w:w="2363"/>
      </w:tblGrid>
      <w:tr w:rsidR="009445B3" w:rsidRPr="0017156E" w:rsidTr="00551937">
        <w:tc>
          <w:tcPr>
            <w:tcW w:w="22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445B3" w:rsidRPr="0017156E" w:rsidRDefault="009445B3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Групи</w:t>
            </w:r>
            <w:proofErr w:type="spellEnd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підгрупи</w:t>
            </w:r>
            <w:proofErr w:type="spellEnd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5B3" w:rsidRPr="0017156E" w:rsidRDefault="009445B3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45B3" w:rsidRPr="0017156E" w:rsidRDefault="009445B3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</w:t>
            </w:r>
            <w:proofErr w:type="spellEnd"/>
          </w:p>
        </w:tc>
      </w:tr>
      <w:tr w:rsidR="009445B3" w:rsidRPr="0017156E" w:rsidTr="00551937">
        <w:tc>
          <w:tcPr>
            <w:tcW w:w="2250" w:type="pc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445B3" w:rsidRPr="0017156E" w:rsidRDefault="009445B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Громадяни</w:t>
            </w:r>
            <w:proofErr w:type="spellEnd"/>
          </w:p>
        </w:tc>
        <w:tc>
          <w:tcPr>
            <w:tcW w:w="1450" w:type="pc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445B3" w:rsidRPr="00F71F23" w:rsidRDefault="00F71F2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+</w:t>
            </w:r>
          </w:p>
        </w:tc>
        <w:tc>
          <w:tcPr>
            <w:tcW w:w="1250" w:type="pc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445B3" w:rsidRPr="0017156E" w:rsidRDefault="009445B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5B3" w:rsidRPr="0017156E" w:rsidTr="00551937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445B3" w:rsidRPr="0017156E" w:rsidRDefault="009445B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Держава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445B3" w:rsidRPr="00F71F23" w:rsidRDefault="00F71F2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+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445B3" w:rsidRPr="0017156E" w:rsidRDefault="009445B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5B3" w:rsidRPr="0017156E" w:rsidTr="00551937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445B3" w:rsidRPr="00F71F23" w:rsidRDefault="009445B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Суб’єкти</w:t>
            </w:r>
            <w:proofErr w:type="spellEnd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71F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445B3" w:rsidRPr="00F71F23" w:rsidRDefault="00F71F2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+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445B3" w:rsidRPr="0017156E" w:rsidRDefault="009445B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5B3" w:rsidRPr="0017156E" w:rsidTr="00551937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445B3" w:rsidRPr="0017156E" w:rsidRDefault="009445B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тому </w:t>
            </w:r>
            <w:proofErr w:type="spellStart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числі</w:t>
            </w:r>
            <w:proofErr w:type="spellEnd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суб’єкти</w:t>
            </w:r>
            <w:proofErr w:type="spellEnd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малого </w:t>
            </w:r>
            <w:proofErr w:type="spellStart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підприємництва</w:t>
            </w:r>
            <w:proofErr w:type="spellEnd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445B3" w:rsidRPr="00F71F23" w:rsidRDefault="00F71F2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+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445B3" w:rsidRPr="0017156E" w:rsidRDefault="009445B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1F23" w:rsidRDefault="0087632C" w:rsidP="00DF065A">
      <w:pPr>
        <w:pStyle w:val="11"/>
        <w:autoSpaceDE w:val="0"/>
        <w:autoSpaceDN w:val="0"/>
        <w:spacing w:before="0" w:after="0"/>
        <w:ind w:left="23" w:firstLine="685"/>
        <w:jc w:val="both"/>
        <w:rPr>
          <w:sz w:val="28"/>
          <w:szCs w:val="28"/>
          <w:lang w:val="uk-UA"/>
        </w:rPr>
      </w:pPr>
      <w:bookmarkStart w:id="0" w:name="n96"/>
      <w:bookmarkEnd w:id="0"/>
      <w:r w:rsidRPr="009967DE">
        <w:rPr>
          <w:sz w:val="28"/>
          <w:szCs w:val="28"/>
          <w:lang w:val="uk-UA"/>
        </w:rPr>
        <w:t xml:space="preserve">Вищевказана проблема, яку пропонуються розв’язати шляхом </w:t>
      </w:r>
      <w:r w:rsidR="00F71F23" w:rsidRPr="009967DE">
        <w:rPr>
          <w:sz w:val="28"/>
          <w:szCs w:val="28"/>
          <w:lang w:val="uk-UA"/>
        </w:rPr>
        <w:t>прийняття рішення Бахмутської міської ради</w:t>
      </w:r>
      <w:r w:rsidRPr="009967DE">
        <w:rPr>
          <w:sz w:val="28"/>
          <w:szCs w:val="28"/>
          <w:lang w:val="uk-UA"/>
        </w:rPr>
        <w:t xml:space="preserve"> про затвердження Порядку, не може бути розв’язана за допомогою ринкових механізмів та  регуляторних</w:t>
      </w:r>
      <w:r w:rsidR="00F71F23" w:rsidRPr="009967DE">
        <w:rPr>
          <w:sz w:val="28"/>
          <w:szCs w:val="28"/>
          <w:lang w:val="uk-UA"/>
        </w:rPr>
        <w:t xml:space="preserve"> актів</w:t>
      </w:r>
      <w:r w:rsidR="009967DE" w:rsidRPr="009967DE">
        <w:rPr>
          <w:sz w:val="28"/>
          <w:szCs w:val="28"/>
          <w:lang w:val="uk-UA"/>
        </w:rPr>
        <w:t>, а саме рішень: Артемівської міської ради від 26.03.2014 №6/49-960 «</w:t>
      </w:r>
      <w:r w:rsidR="009967DE" w:rsidRPr="009967DE">
        <w:rPr>
          <w:sz w:val="28"/>
          <w:szCs w:val="28"/>
          <w:lang w:val="uk-UA" w:bidi="ru-RU"/>
        </w:rPr>
        <w:t xml:space="preserve">Про </w:t>
      </w:r>
      <w:r w:rsidR="009967DE" w:rsidRPr="009967DE">
        <w:rPr>
          <w:sz w:val="28"/>
          <w:szCs w:val="28"/>
          <w:lang w:val="uk-UA"/>
        </w:rPr>
        <w:t xml:space="preserve">затвердження Положення </w:t>
      </w:r>
      <w:r w:rsidR="009967DE" w:rsidRPr="009967DE">
        <w:rPr>
          <w:sz w:val="28"/>
          <w:szCs w:val="28"/>
          <w:lang w:val="uk-UA" w:bidi="ru-RU"/>
        </w:rPr>
        <w:t xml:space="preserve">про порядок </w:t>
      </w:r>
      <w:r w:rsidR="009967DE" w:rsidRPr="009967DE">
        <w:rPr>
          <w:sz w:val="28"/>
          <w:szCs w:val="28"/>
          <w:lang w:val="uk-UA"/>
        </w:rPr>
        <w:t xml:space="preserve">приватизації </w:t>
      </w:r>
      <w:r w:rsidR="009967DE" w:rsidRPr="009967DE">
        <w:rPr>
          <w:sz w:val="28"/>
          <w:szCs w:val="28"/>
          <w:lang w:val="uk-UA" w:bidi="ru-RU"/>
        </w:rPr>
        <w:t xml:space="preserve">та </w:t>
      </w:r>
      <w:r w:rsidR="009967DE" w:rsidRPr="009967DE">
        <w:rPr>
          <w:sz w:val="28"/>
          <w:szCs w:val="28"/>
          <w:lang w:val="uk-UA"/>
        </w:rPr>
        <w:t xml:space="preserve">відчуження об’єктів </w:t>
      </w:r>
      <w:r w:rsidR="009967DE" w:rsidRPr="009967DE">
        <w:rPr>
          <w:sz w:val="28"/>
          <w:szCs w:val="28"/>
          <w:lang w:val="uk-UA" w:bidi="ru-RU"/>
        </w:rPr>
        <w:t xml:space="preserve">права </w:t>
      </w:r>
      <w:r w:rsidR="009967DE" w:rsidRPr="009967DE">
        <w:rPr>
          <w:sz w:val="28"/>
          <w:szCs w:val="28"/>
          <w:lang w:val="uk-UA"/>
        </w:rPr>
        <w:t>комунальної власності територіальної громади міста Артемівська»,  Бахмутської міської ради  від 28.02.2018 № 6/110- 2119 «</w:t>
      </w:r>
      <w:r w:rsidR="009967DE" w:rsidRPr="009967DE">
        <w:rPr>
          <w:bCs/>
          <w:iCs/>
          <w:sz w:val="28"/>
          <w:szCs w:val="28"/>
          <w:lang w:val="uk-UA"/>
        </w:rPr>
        <w:t xml:space="preserve">Про внесення змін до рішень Артемівської міської ради від </w:t>
      </w:r>
      <w:r w:rsidR="009967DE" w:rsidRPr="009967DE">
        <w:rPr>
          <w:sz w:val="28"/>
          <w:szCs w:val="28"/>
          <w:lang w:val="uk-UA"/>
        </w:rPr>
        <w:t>26.03.2014</w:t>
      </w:r>
      <w:r w:rsidR="009967DE">
        <w:rPr>
          <w:sz w:val="28"/>
          <w:szCs w:val="28"/>
          <w:lang w:val="uk-UA"/>
        </w:rPr>
        <w:t xml:space="preserve"> </w:t>
      </w:r>
      <w:r w:rsidR="009967DE" w:rsidRPr="009967DE">
        <w:rPr>
          <w:sz w:val="28"/>
          <w:szCs w:val="28"/>
          <w:lang w:val="uk-UA"/>
        </w:rPr>
        <w:t>№ 6/49-960, від 23.12.2015 № 6/76-1357», в частині, що стосується рішення Артемівської міської ради від 26.03.2014 №6/49-960</w:t>
      </w:r>
      <w:r w:rsidR="00F71F23" w:rsidRPr="009967DE">
        <w:rPr>
          <w:sz w:val="28"/>
          <w:szCs w:val="28"/>
          <w:lang w:val="uk-UA"/>
        </w:rPr>
        <w:t>, які вже втратили чинність</w:t>
      </w:r>
      <w:r w:rsidR="009967DE" w:rsidRPr="009967DE">
        <w:rPr>
          <w:sz w:val="28"/>
          <w:szCs w:val="28"/>
          <w:lang w:val="uk-UA"/>
        </w:rPr>
        <w:t xml:space="preserve"> на підставі рішення</w:t>
      </w:r>
      <w:r w:rsidR="009967DE">
        <w:rPr>
          <w:sz w:val="28"/>
          <w:szCs w:val="28"/>
          <w:lang w:val="uk-UA"/>
        </w:rPr>
        <w:t xml:space="preserve"> Б</w:t>
      </w:r>
      <w:r w:rsidR="009967DE" w:rsidRPr="009967DE">
        <w:rPr>
          <w:sz w:val="28"/>
          <w:szCs w:val="28"/>
          <w:lang w:val="uk-UA"/>
        </w:rPr>
        <w:t xml:space="preserve">ахмутської міської ради </w:t>
      </w:r>
      <w:r w:rsidR="006E793B">
        <w:rPr>
          <w:sz w:val="28"/>
          <w:szCs w:val="28"/>
          <w:lang w:val="uk-UA"/>
        </w:rPr>
        <w:t xml:space="preserve"> від </w:t>
      </w:r>
      <w:r w:rsidR="009967DE" w:rsidRPr="009967DE">
        <w:rPr>
          <w:sz w:val="28"/>
          <w:szCs w:val="28"/>
          <w:lang w:val="uk-UA"/>
        </w:rPr>
        <w:t xml:space="preserve">30.01.2019 </w:t>
      </w:r>
      <w:r w:rsidR="00DF065A">
        <w:rPr>
          <w:sz w:val="28"/>
          <w:szCs w:val="28"/>
          <w:lang w:val="uk-UA"/>
        </w:rPr>
        <w:t xml:space="preserve">                </w:t>
      </w:r>
      <w:r w:rsidR="009967DE" w:rsidRPr="009967DE">
        <w:rPr>
          <w:sz w:val="28"/>
          <w:szCs w:val="28"/>
          <w:lang w:val="uk-UA"/>
        </w:rPr>
        <w:t>№ 6/125-2439</w:t>
      </w:r>
      <w:r w:rsidR="009967DE">
        <w:rPr>
          <w:sz w:val="28"/>
          <w:szCs w:val="28"/>
          <w:lang w:val="uk-UA"/>
        </w:rPr>
        <w:t xml:space="preserve"> «</w:t>
      </w:r>
      <w:r w:rsidR="009967DE" w:rsidRPr="009967DE">
        <w:rPr>
          <w:rStyle w:val="23"/>
          <w:rFonts w:eastAsiaTheme="minorHAnsi"/>
          <w:b w:val="0"/>
          <w:i w:val="0"/>
        </w:rPr>
        <w:t xml:space="preserve">Про затвердження повноважень Органу приватизації </w:t>
      </w:r>
      <w:r w:rsidR="009967DE" w:rsidRPr="00DF065A">
        <w:rPr>
          <w:sz w:val="28"/>
          <w:szCs w:val="28"/>
          <w:shd w:val="clear" w:color="auto" w:fill="FFFFFF"/>
          <w:lang w:val="uk-UA"/>
        </w:rPr>
        <w:t xml:space="preserve">об’єктів права комунальної власності </w:t>
      </w:r>
      <w:r w:rsidR="009967DE" w:rsidRPr="00DF065A">
        <w:rPr>
          <w:sz w:val="28"/>
          <w:szCs w:val="28"/>
          <w:lang w:val="uk-UA" w:eastAsia="uk-UA" w:bidi="uk-UA"/>
        </w:rPr>
        <w:t>територіальної громади міста Бахмут»</w:t>
      </w:r>
      <w:r w:rsidR="006E793B">
        <w:rPr>
          <w:sz w:val="28"/>
          <w:szCs w:val="28"/>
          <w:lang w:val="uk-UA" w:eastAsia="uk-UA" w:bidi="uk-UA"/>
        </w:rPr>
        <w:t xml:space="preserve"> (із змінами)  та рішення</w:t>
      </w:r>
      <w:r w:rsidR="006E793B" w:rsidRPr="006E793B">
        <w:rPr>
          <w:sz w:val="28"/>
          <w:szCs w:val="28"/>
          <w:lang w:val="uk-UA"/>
        </w:rPr>
        <w:t xml:space="preserve"> </w:t>
      </w:r>
      <w:r w:rsidR="006E793B">
        <w:rPr>
          <w:sz w:val="28"/>
          <w:szCs w:val="28"/>
          <w:lang w:val="uk-UA"/>
        </w:rPr>
        <w:t>Б</w:t>
      </w:r>
      <w:r w:rsidR="006E793B" w:rsidRPr="009967DE">
        <w:rPr>
          <w:sz w:val="28"/>
          <w:szCs w:val="28"/>
          <w:lang w:val="uk-UA"/>
        </w:rPr>
        <w:t>ахмутської міської ради</w:t>
      </w:r>
      <w:r w:rsidR="006E793B">
        <w:rPr>
          <w:sz w:val="28"/>
          <w:szCs w:val="28"/>
          <w:lang w:val="uk-UA"/>
        </w:rPr>
        <w:t xml:space="preserve"> від 22.07.2020 №6/144-3056 </w:t>
      </w:r>
      <w:r w:rsidR="00CD1BA2">
        <w:rPr>
          <w:sz w:val="28"/>
          <w:szCs w:val="28"/>
          <w:lang w:val="uk-UA"/>
        </w:rPr>
        <w:t xml:space="preserve">            </w:t>
      </w:r>
      <w:r w:rsidR="006E793B">
        <w:rPr>
          <w:sz w:val="28"/>
          <w:szCs w:val="28"/>
          <w:lang w:val="uk-UA"/>
        </w:rPr>
        <w:t xml:space="preserve">«Про здійснення приватизації об’єктів права комунальної власності </w:t>
      </w:r>
      <w:r w:rsidR="006E793B" w:rsidRPr="009967DE">
        <w:rPr>
          <w:sz w:val="28"/>
          <w:szCs w:val="28"/>
          <w:lang w:val="uk-UA"/>
        </w:rPr>
        <w:t>Бахмутської міської</w:t>
      </w:r>
      <w:r w:rsidR="006E793B">
        <w:rPr>
          <w:sz w:val="28"/>
          <w:szCs w:val="28"/>
          <w:lang w:val="uk-UA"/>
        </w:rPr>
        <w:t xml:space="preserve"> територіальної громади»</w:t>
      </w:r>
      <w:r w:rsidR="00F71F23" w:rsidRPr="00DF065A">
        <w:rPr>
          <w:sz w:val="28"/>
          <w:szCs w:val="28"/>
          <w:lang w:val="uk-UA"/>
        </w:rPr>
        <w:t>,</w:t>
      </w:r>
      <w:r w:rsidR="00F71F23" w:rsidRPr="009967DE">
        <w:rPr>
          <w:sz w:val="28"/>
          <w:szCs w:val="28"/>
          <w:lang w:val="uk-UA"/>
        </w:rPr>
        <w:t xml:space="preserve"> як такі, що не відповідали вимогам Закону. </w:t>
      </w:r>
    </w:p>
    <w:p w:rsidR="004768A8" w:rsidRPr="009967DE" w:rsidRDefault="004768A8" w:rsidP="00DF065A">
      <w:pPr>
        <w:pStyle w:val="11"/>
        <w:autoSpaceDE w:val="0"/>
        <w:autoSpaceDN w:val="0"/>
        <w:spacing w:before="0" w:after="0"/>
        <w:ind w:left="23" w:firstLine="685"/>
        <w:jc w:val="both"/>
        <w:rPr>
          <w:sz w:val="28"/>
          <w:szCs w:val="28"/>
          <w:lang w:val="uk-UA"/>
        </w:rPr>
      </w:pPr>
    </w:p>
    <w:p w:rsidR="00F71F23" w:rsidRDefault="0087632C" w:rsidP="00E17BA0">
      <w:pPr>
        <w:pStyle w:val="21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71F23">
        <w:rPr>
          <w:rFonts w:ascii="Times New Roman" w:hAnsi="Times New Roman" w:cs="Times New Roman"/>
          <w:b/>
          <w:sz w:val="28"/>
          <w:szCs w:val="28"/>
        </w:rPr>
        <w:t>II. Цілі державного регулювання</w:t>
      </w:r>
      <w:r w:rsidRPr="008763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8A8" w:rsidRDefault="004768A8" w:rsidP="00E17BA0">
      <w:pPr>
        <w:pStyle w:val="21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B76707" w:rsidRDefault="0087632C" w:rsidP="00E17BA0">
      <w:pPr>
        <w:pStyle w:val="21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632C">
        <w:rPr>
          <w:rFonts w:ascii="Times New Roman" w:hAnsi="Times New Roman" w:cs="Times New Roman"/>
          <w:sz w:val="28"/>
          <w:szCs w:val="28"/>
        </w:rPr>
        <w:t xml:space="preserve">Ціллю </w:t>
      </w:r>
      <w:r w:rsidR="00F71F23">
        <w:rPr>
          <w:rFonts w:ascii="Times New Roman" w:hAnsi="Times New Roman" w:cs="Times New Roman"/>
          <w:sz w:val="28"/>
          <w:szCs w:val="28"/>
        </w:rPr>
        <w:t>прийняття</w:t>
      </w:r>
      <w:r w:rsidRPr="0087632C">
        <w:rPr>
          <w:rFonts w:ascii="Times New Roman" w:hAnsi="Times New Roman" w:cs="Times New Roman"/>
          <w:sz w:val="28"/>
          <w:szCs w:val="28"/>
        </w:rPr>
        <w:t xml:space="preserve"> </w:t>
      </w:r>
      <w:r w:rsidR="00F71F23">
        <w:rPr>
          <w:rFonts w:ascii="Times New Roman" w:hAnsi="Times New Roman" w:cs="Times New Roman"/>
          <w:sz w:val="28"/>
          <w:szCs w:val="28"/>
        </w:rPr>
        <w:t>рішення Бахмутської міської ради</w:t>
      </w:r>
      <w:r w:rsidR="00F71F23" w:rsidRPr="0087632C">
        <w:rPr>
          <w:rFonts w:ascii="Times New Roman" w:hAnsi="Times New Roman" w:cs="Times New Roman"/>
          <w:sz w:val="28"/>
          <w:szCs w:val="28"/>
        </w:rPr>
        <w:t xml:space="preserve"> про затвердження Порядку </w:t>
      </w:r>
      <w:r w:rsidRPr="0087632C">
        <w:rPr>
          <w:rFonts w:ascii="Times New Roman" w:hAnsi="Times New Roman" w:cs="Times New Roman"/>
          <w:sz w:val="28"/>
          <w:szCs w:val="28"/>
        </w:rPr>
        <w:t xml:space="preserve">є запровадження єдиного механізму, згідно з яким потенційним покупцям надається можливість у встановленому законодавством порядку за єдиними уніфікованими формами подавати заяви про включення об’єктів права </w:t>
      </w:r>
      <w:r w:rsidR="009967DE">
        <w:rPr>
          <w:rFonts w:ascii="Times New Roman" w:hAnsi="Times New Roman" w:cs="Times New Roman"/>
          <w:sz w:val="28"/>
          <w:szCs w:val="28"/>
        </w:rPr>
        <w:t>комунальної</w:t>
      </w:r>
      <w:r w:rsidRPr="0087632C">
        <w:rPr>
          <w:rFonts w:ascii="Times New Roman" w:hAnsi="Times New Roman" w:cs="Times New Roman"/>
          <w:sz w:val="28"/>
          <w:szCs w:val="28"/>
        </w:rPr>
        <w:t xml:space="preserve"> власності до відповідного переліку об’єктів великої або малої приватизації, що підлягають приватизації. </w:t>
      </w:r>
    </w:p>
    <w:p w:rsidR="004768A8" w:rsidRDefault="004768A8" w:rsidP="00E17BA0">
      <w:pPr>
        <w:pStyle w:val="21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DF065A" w:rsidRDefault="0087632C" w:rsidP="00E17BA0">
      <w:pPr>
        <w:pStyle w:val="21"/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67DE">
        <w:rPr>
          <w:rFonts w:ascii="Times New Roman" w:hAnsi="Times New Roman" w:cs="Times New Roman"/>
          <w:b/>
          <w:sz w:val="28"/>
          <w:szCs w:val="28"/>
        </w:rPr>
        <w:t xml:space="preserve">III. Визначення та оцінка альтернативних способів досягнення цілей </w:t>
      </w:r>
    </w:p>
    <w:p w:rsidR="00DF065A" w:rsidRDefault="0087632C" w:rsidP="00E17BA0">
      <w:pPr>
        <w:pStyle w:val="21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7632C">
        <w:rPr>
          <w:rFonts w:ascii="Times New Roman" w:hAnsi="Times New Roman" w:cs="Times New Roman"/>
          <w:sz w:val="28"/>
          <w:szCs w:val="28"/>
        </w:rPr>
        <w:t xml:space="preserve">1. Альтернативні способи досягнення цілей визначено з огляду на те, що запроваджується нова процедура подання та розгляду заяв про включення об’єктів права </w:t>
      </w:r>
      <w:r w:rsidR="00DF065A">
        <w:rPr>
          <w:rFonts w:ascii="Times New Roman" w:hAnsi="Times New Roman" w:cs="Times New Roman"/>
          <w:sz w:val="28"/>
          <w:szCs w:val="28"/>
        </w:rPr>
        <w:t>комунальної</w:t>
      </w:r>
      <w:r w:rsidRPr="0087632C">
        <w:rPr>
          <w:rFonts w:ascii="Times New Roman" w:hAnsi="Times New Roman" w:cs="Times New Roman"/>
          <w:sz w:val="28"/>
          <w:szCs w:val="28"/>
        </w:rPr>
        <w:t xml:space="preserve"> власності до переліків об’єктів великої або малої приватизації, що підлягають приватизації. </w:t>
      </w: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6236"/>
      </w:tblGrid>
      <w:tr w:rsidR="00DF065A" w:rsidRPr="001F199C" w:rsidTr="00CD1BA2">
        <w:trPr>
          <w:jc w:val="center"/>
        </w:trPr>
        <w:tc>
          <w:tcPr>
            <w:tcW w:w="16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F065A" w:rsidRPr="00CD1BA2" w:rsidRDefault="00DF065A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B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 альтернативи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065A" w:rsidRPr="00CD1BA2" w:rsidRDefault="00DF065A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B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Опис альтернативи</w:t>
            </w:r>
          </w:p>
        </w:tc>
      </w:tr>
      <w:tr w:rsidR="00DF065A" w:rsidRPr="008C68FD" w:rsidTr="00CD1BA2">
        <w:trPr>
          <w:jc w:val="center"/>
        </w:trPr>
        <w:tc>
          <w:tcPr>
            <w:tcW w:w="1667" w:type="pc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065A" w:rsidRPr="00CD1BA2" w:rsidRDefault="00DF065A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B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1</w:t>
            </w:r>
          </w:p>
        </w:tc>
        <w:tc>
          <w:tcPr>
            <w:tcW w:w="3333" w:type="pc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065A" w:rsidRPr="00CD1BA2" w:rsidRDefault="00DF065A" w:rsidP="00DF065A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D1B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Прийняття рішення про затвердження Порядку необхідне, </w:t>
            </w:r>
            <w:r w:rsidRPr="00CD1B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оскільки Закон передбачає новий підхід до формування переліків об’єктів великої або малої приватизації, що підлягають приватизації, та встановлює норму щодо підготовки відповідного Порядку.</w:t>
            </w:r>
          </w:p>
        </w:tc>
      </w:tr>
      <w:tr w:rsidR="00DF065A" w:rsidRPr="001F199C" w:rsidTr="00CD1BA2">
        <w:trPr>
          <w:jc w:val="center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065A" w:rsidRPr="001F199C" w:rsidRDefault="00DF065A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Альтернатива 2</w:t>
            </w:r>
          </w:p>
        </w:tc>
        <w:tc>
          <w:tcPr>
            <w:tcW w:w="33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065A" w:rsidRPr="001F199C" w:rsidRDefault="00DF065A" w:rsidP="00DF065A">
            <w:pPr>
              <w:pStyle w:val="21"/>
              <w:jc w:val="both"/>
              <w:rPr>
                <w:rFonts w:ascii="Times New Roman" w:eastAsia="Times New Roman" w:hAnsi="Times New Roman" w:cs="Times New Roman"/>
              </w:rPr>
            </w:pPr>
            <w:r w:rsidRPr="001F199C">
              <w:rPr>
                <w:rFonts w:ascii="Times New Roman" w:hAnsi="Times New Roman" w:cs="Times New Roman"/>
              </w:rPr>
              <w:t xml:space="preserve">Не приймати рішення про затвердження Порядку не вбачається можливим через необхідність дотримання визначених чинним законодавством прав громадян України, іноземних громадян, а також юридичних осіб (резидентів та не резидентів), оскільки встановлення органом місцевого самоврядування Порядку передбачено вимогами Закону. </w:t>
            </w:r>
          </w:p>
        </w:tc>
      </w:tr>
      <w:tr w:rsidR="00DF065A" w:rsidRPr="001F199C" w:rsidTr="00CD1BA2">
        <w:trPr>
          <w:jc w:val="center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065A" w:rsidRPr="001F199C" w:rsidRDefault="00DF065A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065A" w:rsidRPr="001F199C" w:rsidRDefault="00DF065A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065A" w:rsidRPr="001F199C" w:rsidRDefault="00DF065A" w:rsidP="00E17BA0">
      <w:pPr>
        <w:pStyle w:val="21"/>
        <w:ind w:firstLine="1134"/>
        <w:jc w:val="both"/>
        <w:rPr>
          <w:rFonts w:ascii="Times New Roman" w:hAnsi="Times New Roman" w:cs="Times New Roman"/>
        </w:rPr>
      </w:pPr>
    </w:p>
    <w:p w:rsidR="00365DCC" w:rsidRDefault="0087632C" w:rsidP="00E17BA0">
      <w:pPr>
        <w:pStyle w:val="21"/>
        <w:ind w:firstLine="1134"/>
        <w:jc w:val="both"/>
        <w:rPr>
          <w:rFonts w:ascii="Times New Roman" w:hAnsi="Times New Roman" w:cs="Times New Roman"/>
        </w:rPr>
      </w:pPr>
      <w:r w:rsidRPr="001F199C">
        <w:rPr>
          <w:rFonts w:ascii="Times New Roman" w:hAnsi="Times New Roman" w:cs="Times New Roman"/>
        </w:rPr>
        <w:t xml:space="preserve">2. Оцінка вибраних альтернативних способів досягнення цілей </w:t>
      </w:r>
    </w:p>
    <w:p w:rsidR="004768A8" w:rsidRPr="001F199C" w:rsidRDefault="004768A8" w:rsidP="00E17BA0">
      <w:pPr>
        <w:pStyle w:val="21"/>
        <w:ind w:firstLine="1134"/>
        <w:jc w:val="both"/>
        <w:rPr>
          <w:rFonts w:ascii="Times New Roman" w:hAnsi="Times New Roman" w:cs="Times New Roman"/>
        </w:rPr>
      </w:pPr>
    </w:p>
    <w:p w:rsidR="00365DCC" w:rsidRDefault="00365DCC" w:rsidP="00365DCC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A28EF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  <w:t>Оцінка впливу на сферу інтересів держави</w:t>
      </w:r>
    </w:p>
    <w:p w:rsidR="004768A8" w:rsidRPr="00BA28EF" w:rsidRDefault="004768A8" w:rsidP="00365DCC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536"/>
        <w:gridCol w:w="2267"/>
      </w:tblGrid>
      <w:tr w:rsidR="00365DCC" w:rsidRPr="001F199C" w:rsidTr="00756892"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65DCC" w:rsidRPr="001F199C" w:rsidRDefault="00365DCC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119"/>
            <w:bookmarkEnd w:id="1"/>
            <w:r w:rsidRPr="001F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1F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альтернативи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5DCC" w:rsidRPr="001F199C" w:rsidRDefault="00365DCC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Вигоди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5DCC" w:rsidRPr="001F199C" w:rsidRDefault="00365DCC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</w:tr>
      <w:tr w:rsidR="00365DCC" w:rsidRPr="001F199C" w:rsidTr="00756892"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65DCC" w:rsidRPr="001F199C" w:rsidRDefault="00365DCC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65DCC" w:rsidRPr="001F199C" w:rsidRDefault="00365DCC" w:rsidP="00F8682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Удосконалення механізму формування та затвердження переліків об’єктів, які підлягають приватизації, сприятиме залученню до придбання </w:t>
            </w:r>
            <w:r w:rsidR="001F199C"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комунальної </w:t>
            </w:r>
            <w:r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власності широкого кола потенційних покупців, що в підсумку дозволить </w:t>
            </w:r>
            <w:r w:rsidR="001F199C"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територіальній громаді </w:t>
            </w:r>
            <w:r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отримати додаткові інвестиції з метою підвищення соціально- економічної ефективності виробництва</w:t>
            </w:r>
            <w:r w:rsidR="00F868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65DCC" w:rsidRPr="001F199C" w:rsidRDefault="00365DCC" w:rsidP="00CD1BA2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Реалізація </w:t>
            </w:r>
            <w:r w:rsidR="00CD1B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 потребує фінансування з </w:t>
            </w:r>
            <w:r w:rsidR="001F199C"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місцевого </w:t>
            </w:r>
            <w:r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бюджету </w:t>
            </w:r>
          </w:p>
        </w:tc>
      </w:tr>
      <w:tr w:rsidR="00365DCC" w:rsidRPr="001F199C" w:rsidTr="00756892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5DCC" w:rsidRPr="001F199C" w:rsidRDefault="00365DCC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5DCC" w:rsidRPr="001F199C" w:rsidRDefault="001F2B1C" w:rsidP="00CC58E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передбачаються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оскільки п</w:t>
            </w:r>
            <w:r w:rsidR="001F199C"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рийняття рішення про затвердження Порядку передбачено вимогами Закону.  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5DCC" w:rsidRPr="001F199C" w:rsidRDefault="00F8682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1F2B1C"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оже призвести до збільшення кількості звернень та скарг на дії або бездіяльність органу приватизації та витрат робочого часу на їх розгляд</w:t>
            </w:r>
          </w:p>
        </w:tc>
      </w:tr>
    </w:tbl>
    <w:p w:rsidR="001F199C" w:rsidRDefault="001F199C" w:rsidP="001F199C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A28EF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  <w:t>Оцінка впливу на сферу інтересів громадян</w:t>
      </w:r>
    </w:p>
    <w:p w:rsidR="004768A8" w:rsidRPr="00BA28EF" w:rsidRDefault="004768A8" w:rsidP="001F199C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394"/>
        <w:gridCol w:w="2409"/>
      </w:tblGrid>
      <w:tr w:rsidR="001F199C" w:rsidRPr="0017156E" w:rsidTr="00756892"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F199C" w:rsidRPr="0017156E" w:rsidRDefault="001F199C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n131"/>
            <w:bookmarkEnd w:id="2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альтернативи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199C" w:rsidRPr="0017156E" w:rsidRDefault="001F199C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Вигоди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199C" w:rsidRPr="0017156E" w:rsidRDefault="001F199C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</w:tr>
      <w:tr w:rsidR="001F199C" w:rsidRPr="008C68FD" w:rsidTr="00756892"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1F199C" w:rsidRPr="0017156E" w:rsidRDefault="001F199C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1F199C" w:rsidRPr="001F199C" w:rsidRDefault="001F199C" w:rsidP="00CD1BA2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Фізична особа як потенційний покупець матиме можливість подати до  органу приватизації заяву за встановленою формою та необхідні документи згідно з вичерпним переліком, що дозволить стати учасником приватизаційного процесу на його початковому етапі.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1F199C" w:rsidRPr="001F199C" w:rsidRDefault="001F199C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Прогнозуються можливі незначні одноразові витрати, пов’язані з ознайомленням із новими вимогами регулювання та організацією виконання вимог регулювання.</w:t>
            </w:r>
          </w:p>
        </w:tc>
      </w:tr>
      <w:tr w:rsidR="001F199C" w:rsidRPr="0017156E" w:rsidTr="00756892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F199C" w:rsidRPr="0017156E" w:rsidRDefault="001F199C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F199C" w:rsidRPr="0017156E" w:rsidRDefault="00756892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рішення про затвердження Порядку передбачено вимогами Закону.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F199C" w:rsidRPr="0017156E" w:rsidRDefault="00756892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передбачаються</w:t>
            </w:r>
          </w:p>
        </w:tc>
      </w:tr>
    </w:tbl>
    <w:p w:rsidR="00756892" w:rsidRDefault="00756892" w:rsidP="00756892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A28EF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  <w:lastRenderedPageBreak/>
        <w:t>Оцінка впливу на сферу інтересів суб’єктів господарювання</w:t>
      </w:r>
    </w:p>
    <w:p w:rsidR="004768A8" w:rsidRPr="00BA28EF" w:rsidRDefault="004768A8" w:rsidP="00756892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56892" w:rsidRDefault="006E2792" w:rsidP="006E279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56892" w:rsidRPr="00756892">
        <w:rPr>
          <w:rFonts w:ascii="Times New Roman" w:hAnsi="Times New Roman" w:cs="Times New Roman"/>
          <w:sz w:val="28"/>
          <w:szCs w:val="28"/>
          <w:lang w:val="uk-UA"/>
        </w:rPr>
        <w:t xml:space="preserve">Оцінку впливу на сферу інтересів суб’єктів господарювання здійснено з урахуванням наявних даних щодо поданих заяв про включення до переліку об’єктів, що підлягають приватизації, стосовно об’єктів малої приватизації, тобто об’єктів </w:t>
      </w:r>
      <w:r w:rsidR="007D797E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756892" w:rsidRPr="00756892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власності, які згідно з класифікацією об’єктів приватизації, визначеною </w:t>
      </w:r>
      <w:r w:rsidR="00756892" w:rsidRPr="0087632C">
        <w:rPr>
          <w:rFonts w:ascii="Times New Roman" w:hAnsi="Times New Roman" w:cs="Times New Roman"/>
          <w:sz w:val="28"/>
          <w:szCs w:val="28"/>
        </w:rPr>
        <w:t xml:space="preserve">Законом України «Про </w:t>
      </w:r>
      <w:r w:rsidR="00756892" w:rsidRPr="00BA28EF">
        <w:rPr>
          <w:rFonts w:ascii="Times New Roman" w:hAnsi="Times New Roman" w:cs="Times New Roman"/>
          <w:sz w:val="28"/>
          <w:szCs w:val="28"/>
          <w:lang w:val="uk-UA"/>
        </w:rPr>
        <w:t>приватизацію</w:t>
      </w:r>
      <w:r w:rsidR="00756892" w:rsidRPr="0087632C">
        <w:rPr>
          <w:rFonts w:ascii="Times New Roman" w:hAnsi="Times New Roman" w:cs="Times New Roman"/>
          <w:sz w:val="28"/>
          <w:szCs w:val="28"/>
        </w:rPr>
        <w:t xml:space="preserve"> державного </w:t>
      </w:r>
      <w:r w:rsidR="007D797E">
        <w:rPr>
          <w:rFonts w:ascii="Times New Roman" w:hAnsi="Times New Roman" w:cs="Times New Roman"/>
          <w:sz w:val="28"/>
          <w:szCs w:val="28"/>
          <w:lang w:val="uk-UA"/>
        </w:rPr>
        <w:t xml:space="preserve"> і комунального </w:t>
      </w:r>
      <w:r w:rsidR="00756892" w:rsidRPr="0087632C">
        <w:rPr>
          <w:rFonts w:ascii="Times New Roman" w:hAnsi="Times New Roman" w:cs="Times New Roman"/>
          <w:sz w:val="28"/>
          <w:szCs w:val="28"/>
        </w:rPr>
        <w:t>майна»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2792" w:rsidRDefault="006E2792" w:rsidP="006E2792">
      <w:pPr>
        <w:pStyle w:val="21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7632C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органу приватизації</w:t>
      </w:r>
      <w:r w:rsidRPr="0087632C">
        <w:rPr>
          <w:rFonts w:ascii="Times New Roman" w:hAnsi="Times New Roman" w:cs="Times New Roman"/>
          <w:sz w:val="28"/>
          <w:szCs w:val="28"/>
        </w:rPr>
        <w:t xml:space="preserve"> надійшло від суб’єктів господарювання та зареєстровано </w:t>
      </w:r>
      <w:r w:rsidR="00005C3C">
        <w:rPr>
          <w:rFonts w:ascii="Times New Roman" w:hAnsi="Times New Roman" w:cs="Times New Roman"/>
          <w:sz w:val="28"/>
          <w:szCs w:val="28"/>
        </w:rPr>
        <w:t>23</w:t>
      </w:r>
      <w:r w:rsidRPr="0087632C">
        <w:rPr>
          <w:rFonts w:ascii="Times New Roman" w:hAnsi="Times New Roman" w:cs="Times New Roman"/>
          <w:sz w:val="28"/>
          <w:szCs w:val="28"/>
        </w:rPr>
        <w:t xml:space="preserve"> з</w:t>
      </w:r>
      <w:r w:rsidR="00005C3C">
        <w:rPr>
          <w:rFonts w:ascii="Times New Roman" w:hAnsi="Times New Roman" w:cs="Times New Roman"/>
          <w:sz w:val="28"/>
          <w:szCs w:val="28"/>
        </w:rPr>
        <w:t>вернень</w:t>
      </w:r>
      <w:r w:rsidR="00BA28EF">
        <w:rPr>
          <w:rFonts w:ascii="Times New Roman" w:hAnsi="Times New Roman" w:cs="Times New Roman"/>
          <w:sz w:val="28"/>
          <w:szCs w:val="28"/>
        </w:rPr>
        <w:t xml:space="preserve">  </w:t>
      </w:r>
      <w:r w:rsidRPr="0087632C">
        <w:rPr>
          <w:rFonts w:ascii="Times New Roman" w:hAnsi="Times New Roman" w:cs="Times New Roman"/>
          <w:sz w:val="28"/>
          <w:szCs w:val="28"/>
        </w:rPr>
        <w:t xml:space="preserve">: у  2017 році – </w:t>
      </w:r>
      <w:r>
        <w:rPr>
          <w:rFonts w:ascii="Times New Roman" w:hAnsi="Times New Roman" w:cs="Times New Roman"/>
          <w:sz w:val="28"/>
          <w:szCs w:val="28"/>
        </w:rPr>
        <w:t>7,</w:t>
      </w:r>
      <w:r w:rsidRPr="0087632C">
        <w:rPr>
          <w:rFonts w:ascii="Times New Roman" w:hAnsi="Times New Roman" w:cs="Times New Roman"/>
          <w:sz w:val="28"/>
          <w:szCs w:val="28"/>
        </w:rPr>
        <w:t xml:space="preserve"> у 2018 році – </w:t>
      </w:r>
      <w:r>
        <w:rPr>
          <w:rFonts w:ascii="Times New Roman" w:hAnsi="Times New Roman" w:cs="Times New Roman"/>
          <w:sz w:val="28"/>
          <w:szCs w:val="28"/>
        </w:rPr>
        <w:t>3, у 2019- 8</w:t>
      </w:r>
      <w:r w:rsidR="00263438">
        <w:rPr>
          <w:rFonts w:ascii="Times New Roman" w:hAnsi="Times New Roman" w:cs="Times New Roman"/>
          <w:sz w:val="28"/>
          <w:szCs w:val="28"/>
        </w:rPr>
        <w:t>, у 2020 році</w:t>
      </w:r>
      <w:r w:rsidR="00005C3C">
        <w:rPr>
          <w:rFonts w:ascii="Times New Roman" w:hAnsi="Times New Roman" w:cs="Times New Roman"/>
          <w:sz w:val="28"/>
          <w:szCs w:val="28"/>
        </w:rPr>
        <w:t xml:space="preserve"> </w:t>
      </w:r>
      <w:r w:rsidR="00263438">
        <w:rPr>
          <w:rFonts w:ascii="Times New Roman" w:hAnsi="Times New Roman" w:cs="Times New Roman"/>
          <w:sz w:val="28"/>
          <w:szCs w:val="28"/>
        </w:rPr>
        <w:t>-</w:t>
      </w:r>
      <w:r w:rsidR="00BA28EF">
        <w:rPr>
          <w:rFonts w:ascii="Times New Roman" w:hAnsi="Times New Roman" w:cs="Times New Roman"/>
          <w:sz w:val="28"/>
          <w:szCs w:val="28"/>
        </w:rPr>
        <w:t xml:space="preserve"> </w:t>
      </w:r>
      <w:r w:rsidR="00CE1F99">
        <w:rPr>
          <w:rFonts w:ascii="Times New Roman" w:hAnsi="Times New Roman" w:cs="Times New Roman"/>
          <w:sz w:val="28"/>
          <w:szCs w:val="28"/>
        </w:rPr>
        <w:t>5.</w:t>
      </w:r>
      <w:r w:rsidRPr="0087632C">
        <w:rPr>
          <w:rFonts w:ascii="Times New Roman" w:hAnsi="Times New Roman" w:cs="Times New Roman"/>
          <w:sz w:val="28"/>
          <w:szCs w:val="28"/>
        </w:rPr>
        <w:t xml:space="preserve"> Прогнозна кількість суб’єктів господарювання визначалась виходячи з припущення, що активність заявників, які подаватимуть заяви згідно з Порядком, не збільшиться. Тому за прогнозне значення взято показники попередніх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1F99">
        <w:rPr>
          <w:rFonts w:ascii="Times New Roman" w:hAnsi="Times New Roman" w:cs="Times New Roman"/>
          <w:sz w:val="28"/>
          <w:szCs w:val="28"/>
        </w:rPr>
        <w:t>4</w:t>
      </w:r>
      <w:r w:rsidRPr="0087632C">
        <w:rPr>
          <w:rFonts w:ascii="Times New Roman" w:hAnsi="Times New Roman" w:cs="Times New Roman"/>
          <w:sz w:val="28"/>
          <w:szCs w:val="28"/>
        </w:rPr>
        <w:t xml:space="preserve"> років</w:t>
      </w:r>
      <w:r>
        <w:rPr>
          <w:rFonts w:ascii="Times New Roman" w:hAnsi="Times New Roman" w:cs="Times New Roman"/>
          <w:sz w:val="28"/>
          <w:szCs w:val="28"/>
        </w:rPr>
        <w:t xml:space="preserve"> та в середньому складе - 6</w:t>
      </w:r>
      <w:r w:rsidRPr="008763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2792" w:rsidRPr="006E2792" w:rsidRDefault="006E2792" w:rsidP="006E2792">
      <w:pPr>
        <w:pStyle w:val="21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E2792">
        <w:rPr>
          <w:rFonts w:ascii="Times New Roman" w:hAnsi="Times New Roman" w:cs="Times New Roman"/>
          <w:sz w:val="28"/>
          <w:szCs w:val="28"/>
        </w:rPr>
        <w:t>Оскільки спрогнозувати, які саме суб’єкти господарювання</w:t>
      </w:r>
      <w:r w:rsidR="007F17E4">
        <w:rPr>
          <w:rFonts w:ascii="Times New Roman" w:hAnsi="Times New Roman" w:cs="Times New Roman"/>
          <w:sz w:val="28"/>
          <w:szCs w:val="28"/>
        </w:rPr>
        <w:t>,</w:t>
      </w:r>
      <w:r w:rsidRPr="006E2792">
        <w:rPr>
          <w:rFonts w:ascii="Times New Roman" w:hAnsi="Times New Roman" w:cs="Times New Roman"/>
          <w:sz w:val="28"/>
          <w:szCs w:val="28"/>
        </w:rPr>
        <w:t xml:space="preserve"> як потенційні покупці виявлять заінтересованість до включення об’єктів </w:t>
      </w:r>
      <w:r w:rsidR="006B56B3">
        <w:rPr>
          <w:rFonts w:ascii="Times New Roman" w:hAnsi="Times New Roman" w:cs="Times New Roman"/>
          <w:sz w:val="28"/>
          <w:szCs w:val="28"/>
        </w:rPr>
        <w:t>комунальної</w:t>
      </w:r>
      <w:r w:rsidRPr="006E2792">
        <w:rPr>
          <w:rFonts w:ascii="Times New Roman" w:hAnsi="Times New Roman" w:cs="Times New Roman"/>
          <w:sz w:val="28"/>
          <w:szCs w:val="28"/>
        </w:rPr>
        <w:t xml:space="preserve"> власності до відповідного переліку об’єктів, що підлягають приватизації, не вбачається можливим</w:t>
      </w:r>
      <w:r w:rsidR="00CC58E5">
        <w:rPr>
          <w:rFonts w:ascii="Times New Roman" w:hAnsi="Times New Roman" w:cs="Times New Roman"/>
          <w:sz w:val="28"/>
          <w:szCs w:val="28"/>
        </w:rPr>
        <w:t>.</w:t>
      </w:r>
    </w:p>
    <w:p w:rsidR="006E2792" w:rsidRPr="006E2792" w:rsidRDefault="006E2792" w:rsidP="00756892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W w:w="5076" w:type="pct"/>
        <w:tblInd w:w="-1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3"/>
        <w:gridCol w:w="756"/>
        <w:gridCol w:w="659"/>
        <w:gridCol w:w="1419"/>
        <w:gridCol w:w="1039"/>
        <w:gridCol w:w="285"/>
        <w:gridCol w:w="1324"/>
        <w:gridCol w:w="1512"/>
      </w:tblGrid>
      <w:tr w:rsidR="00756892" w:rsidRPr="0017156E" w:rsidTr="00F33835">
        <w:tc>
          <w:tcPr>
            <w:tcW w:w="13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6892" w:rsidRPr="00F33835" w:rsidRDefault="00756892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3" w:name="n142"/>
            <w:bookmarkEnd w:id="3"/>
            <w:r w:rsidRPr="00F3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Показник</w:t>
            </w:r>
          </w:p>
        </w:tc>
        <w:tc>
          <w:tcPr>
            <w:tcW w:w="7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892" w:rsidRPr="00F33835" w:rsidRDefault="00756892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3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Великі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892" w:rsidRPr="00F33835" w:rsidRDefault="00756892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3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Середні</w:t>
            </w:r>
          </w:p>
        </w:tc>
        <w:tc>
          <w:tcPr>
            <w:tcW w:w="6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892" w:rsidRPr="00F33835" w:rsidRDefault="00756892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3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Малі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892" w:rsidRPr="00F33835" w:rsidRDefault="00756892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3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Мікро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892" w:rsidRPr="00F33835" w:rsidRDefault="00756892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3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Разом</w:t>
            </w:r>
          </w:p>
        </w:tc>
      </w:tr>
      <w:tr w:rsidR="00756892" w:rsidRPr="0017156E" w:rsidTr="00F33835">
        <w:trPr>
          <w:trHeight w:val="1765"/>
        </w:trPr>
        <w:tc>
          <w:tcPr>
            <w:tcW w:w="1318" w:type="pc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56892" w:rsidRDefault="00756892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1F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суб’єктів </w:t>
            </w:r>
            <w:r w:rsidR="00F3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CE1F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господарювання, що підпадають під дію регулювання, одиниць</w:t>
            </w:r>
          </w:p>
          <w:p w:rsidR="00F33835" w:rsidRP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338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Питома вага групи у загальній кількості, </w:t>
            </w:r>
            <w:r w:rsidR="00601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F338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відсотків</w:t>
            </w:r>
          </w:p>
          <w:p w:rsidR="00F33835" w:rsidRPr="00F33835" w:rsidRDefault="00F33835" w:rsidP="00F3383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5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56892" w:rsidRPr="00F33835" w:rsidRDefault="00F33835" w:rsidP="00F33835">
            <w:pPr>
              <w:pStyle w:val="a3"/>
              <w:numPr>
                <w:ilvl w:val="0"/>
                <w:numId w:val="1"/>
              </w:num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</w:t>
            </w:r>
          </w:p>
          <w:p w:rsidR="006B56B3" w:rsidRDefault="006B56B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Pr="006E2792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                             </w:t>
            </w:r>
          </w:p>
        </w:tc>
        <w:tc>
          <w:tcPr>
            <w:tcW w:w="747" w:type="pc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56892" w:rsidRDefault="006E2792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Pr="006E2792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97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56892" w:rsidRDefault="006E2792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Pr="006E2792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97" w:type="pc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56892" w:rsidRDefault="006B56B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</w:t>
            </w:r>
            <w:r w:rsidR="006E27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Pr="006E2792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100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56892" w:rsidRDefault="00CE1F99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6</w:t>
            </w: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835" w:rsidRDefault="00F33835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Х</w:t>
            </w:r>
          </w:p>
          <w:p w:rsidR="006B56B3" w:rsidRDefault="006B56B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B56B3" w:rsidRPr="006E2792" w:rsidRDefault="006B56B3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6892" w:rsidRPr="0017156E" w:rsidTr="00F33835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6892" w:rsidRPr="0017156E" w:rsidRDefault="00756892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6892" w:rsidRPr="0017156E" w:rsidRDefault="00756892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6892" w:rsidRPr="0017156E" w:rsidRDefault="00756892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6892" w:rsidRPr="0017156E" w:rsidRDefault="00756892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6892" w:rsidRPr="0017156E" w:rsidRDefault="00756892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6892" w:rsidRPr="0017156E" w:rsidRDefault="00756892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892" w:rsidRPr="0017156E" w:rsidTr="00F33835">
        <w:tc>
          <w:tcPr>
            <w:tcW w:w="17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6892" w:rsidRPr="00005C3C" w:rsidRDefault="00756892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" w:name="n143"/>
            <w:bookmarkEnd w:id="4"/>
            <w:r w:rsidRPr="00005C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 альтернативи</w:t>
            </w:r>
          </w:p>
        </w:tc>
        <w:tc>
          <w:tcPr>
            <w:tcW w:w="16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892" w:rsidRPr="00005C3C" w:rsidRDefault="00756892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05C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Вигоди</w:t>
            </w:r>
          </w:p>
        </w:tc>
        <w:tc>
          <w:tcPr>
            <w:tcW w:w="16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892" w:rsidRPr="00005C3C" w:rsidRDefault="00756892" w:rsidP="00551937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05C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Витрати</w:t>
            </w:r>
          </w:p>
        </w:tc>
      </w:tr>
      <w:tr w:rsidR="00756892" w:rsidRPr="008C68FD" w:rsidTr="00F33835">
        <w:tc>
          <w:tcPr>
            <w:tcW w:w="1716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56892" w:rsidRPr="0017156E" w:rsidRDefault="00756892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1641" w:type="pct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56892" w:rsidRPr="007F17E4" w:rsidRDefault="007F17E4" w:rsidP="007F17E4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7E4">
              <w:rPr>
                <w:rFonts w:ascii="Times New Roman" w:hAnsi="Times New Roman" w:cs="Times New Roman"/>
                <w:lang w:val="uk-UA"/>
              </w:rPr>
              <w:t>Юридична особа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Pr="007F17E4">
              <w:rPr>
                <w:rFonts w:ascii="Times New Roman" w:hAnsi="Times New Roman" w:cs="Times New Roman"/>
                <w:lang w:val="uk-UA"/>
              </w:rPr>
              <w:t xml:space="preserve"> як потенційний покупець матиме можливість подати до органу приватизації заяву за встановленою формою та необхідні документи згідно з вичерпним переліком, що дозволить стати учасником приватизаційного процесу на його початковому етапі.</w:t>
            </w:r>
          </w:p>
        </w:tc>
        <w:tc>
          <w:tcPr>
            <w:tcW w:w="1643" w:type="pct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56892" w:rsidRPr="007F17E4" w:rsidRDefault="007F17E4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7E4">
              <w:rPr>
                <w:rFonts w:ascii="Times New Roman" w:hAnsi="Times New Roman" w:cs="Times New Roman"/>
                <w:lang w:val="uk-UA"/>
              </w:rPr>
              <w:t>Прогнозуються можливі незначні одноразові витрати, пов’язані з ознайомленням із новими вимогами регулювання та організацією виконання вимог регулювання.</w:t>
            </w:r>
          </w:p>
        </w:tc>
      </w:tr>
      <w:tr w:rsidR="007F17E4" w:rsidRPr="0017156E" w:rsidTr="00F33835">
        <w:tc>
          <w:tcPr>
            <w:tcW w:w="171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F17E4" w:rsidRPr="0017156E" w:rsidRDefault="007F17E4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164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F17E4" w:rsidRPr="0017156E" w:rsidRDefault="007F17E4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рішення про затвердження Порядку передбачено вимогами Закону.</w:t>
            </w:r>
          </w:p>
        </w:tc>
        <w:tc>
          <w:tcPr>
            <w:tcW w:w="1643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F17E4" w:rsidRPr="0017156E" w:rsidRDefault="007F17E4" w:rsidP="00551937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передбачаються</w:t>
            </w:r>
          </w:p>
        </w:tc>
      </w:tr>
    </w:tbl>
    <w:p w:rsidR="005B54ED" w:rsidRDefault="005B54ED" w:rsidP="00601F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601FCB" w:rsidRPr="00FE5A28" w:rsidRDefault="00601FCB" w:rsidP="00601F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</w:pPr>
      <w:r w:rsidRPr="0017156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 xml:space="preserve">IV. </w:t>
      </w:r>
      <w:r w:rsidRPr="00FE5A28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>Вибір найбільш оптимального альтернативного способу досягнення цілей</w:t>
      </w:r>
    </w:p>
    <w:p w:rsidR="005B54ED" w:rsidRDefault="005B54ED" w:rsidP="00601F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5B54ED" w:rsidRPr="005B54ED" w:rsidRDefault="005B54ED" w:rsidP="005B54E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B54ED">
        <w:rPr>
          <w:rFonts w:ascii="Times New Roman" w:hAnsi="Times New Roman" w:cs="Times New Roman"/>
          <w:sz w:val="28"/>
          <w:szCs w:val="28"/>
          <w:lang w:val="uk-UA"/>
        </w:rPr>
        <w:t>За результатами опрацювання альтернативних способів досягнення цілей державного регулювання здійснено вибір оптимального альтернативного способу з урахуванням системи бальної оцінки ступеня досягнення визначених цілей. Вартість балів визначається за чотирибальною системою оцінки ступеня досягнення визначених цілей.</w:t>
      </w:r>
    </w:p>
    <w:p w:rsidR="00601FCB" w:rsidRPr="0017156E" w:rsidRDefault="00601FCB" w:rsidP="00601FCB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5" w:name="n152"/>
      <w:bookmarkEnd w:id="5"/>
    </w:p>
    <w:tbl>
      <w:tblPr>
        <w:tblW w:w="538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1766"/>
        <w:gridCol w:w="2343"/>
        <w:gridCol w:w="99"/>
        <w:gridCol w:w="1770"/>
        <w:gridCol w:w="1250"/>
        <w:gridCol w:w="2555"/>
      </w:tblGrid>
      <w:tr w:rsidR="00601FCB" w:rsidRPr="0017156E" w:rsidTr="004A45CC">
        <w:trPr>
          <w:gridBefore w:val="1"/>
          <w:wBefore w:w="141" w:type="pct"/>
          <w:jc w:val="center"/>
        </w:trPr>
        <w:tc>
          <w:tcPr>
            <w:tcW w:w="20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1FCB" w:rsidRPr="00FE5A28" w:rsidRDefault="00601FCB" w:rsidP="00274A05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6" w:name="n158"/>
            <w:bookmarkEnd w:id="6"/>
            <w:r w:rsidRPr="00FE5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FCB" w:rsidRPr="00FE5A28" w:rsidRDefault="00601FCB" w:rsidP="00274A05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Бал результативності (за чотирибальною системою оцінки)</w:t>
            </w:r>
          </w:p>
        </w:tc>
        <w:tc>
          <w:tcPr>
            <w:tcW w:w="18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1FCB" w:rsidRPr="00FE5A28" w:rsidRDefault="00601FCB" w:rsidP="00274A05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Коментарі щодо присвоєння відповідного </w:t>
            </w:r>
            <w:proofErr w:type="spellStart"/>
            <w:r w:rsidRPr="00FE5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бала</w:t>
            </w:r>
            <w:proofErr w:type="spellEnd"/>
          </w:p>
        </w:tc>
      </w:tr>
      <w:tr w:rsidR="00601FCB" w:rsidRPr="00384ECD" w:rsidTr="004A45CC">
        <w:trPr>
          <w:gridBefore w:val="1"/>
          <w:wBefore w:w="141" w:type="pct"/>
          <w:jc w:val="center"/>
        </w:trPr>
        <w:tc>
          <w:tcPr>
            <w:tcW w:w="2090" w:type="pct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01FCB" w:rsidRDefault="00601FCB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1</w:t>
            </w:r>
          </w:p>
          <w:p w:rsidR="00384ECD" w:rsidRDefault="00384ECD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ECD" w:rsidRDefault="00384ECD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ECD" w:rsidRDefault="00384ECD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ECD" w:rsidRPr="0017156E" w:rsidRDefault="00384ECD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879" w:type="pc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01FCB" w:rsidRDefault="005B54ED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4</w:t>
            </w:r>
          </w:p>
          <w:p w:rsidR="00384ECD" w:rsidRDefault="00384ECD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84ECD" w:rsidRDefault="00384ECD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84ECD" w:rsidRDefault="00384ECD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84ECD" w:rsidRPr="005B54ED" w:rsidRDefault="00384ECD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1</w:t>
            </w:r>
          </w:p>
        </w:tc>
        <w:tc>
          <w:tcPr>
            <w:tcW w:w="1890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01FCB" w:rsidRPr="00384ECD" w:rsidRDefault="005B54ED" w:rsidP="00274A05">
            <w:pPr>
              <w:spacing w:before="94" w:after="94" w:line="240" w:lineRule="auto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384ECD">
              <w:rPr>
                <w:rFonts w:ascii="Times New Roman" w:hAnsi="Times New Roman" w:cs="Times New Roman"/>
                <w:lang w:val="uk-UA"/>
              </w:rPr>
              <w:t>Максимальний бал, який показує можливість максимального досягнення цілей регулювання органами місцевого самоврядування</w:t>
            </w:r>
          </w:p>
          <w:p w:rsidR="00384ECD" w:rsidRPr="00384ECD" w:rsidRDefault="00384ECD" w:rsidP="00274A05">
            <w:pPr>
              <w:spacing w:before="94" w:after="94" w:line="240" w:lineRule="auto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384ECD">
              <w:rPr>
                <w:rFonts w:ascii="Times New Roman" w:hAnsi="Times New Roman" w:cs="Times New Roman"/>
                <w:lang w:val="uk-UA"/>
              </w:rPr>
              <w:t>Мінімальний бал, який показує неможливість максимального досягнення цілей регулювання органами місцевого самоврядування..</w:t>
            </w:r>
          </w:p>
          <w:p w:rsidR="005B54ED" w:rsidRPr="00384ECD" w:rsidRDefault="005B54ED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01FCB" w:rsidRPr="0017156E" w:rsidTr="004A45CC">
        <w:trPr>
          <w:gridBefore w:val="1"/>
          <w:wBefore w:w="141" w:type="pct"/>
          <w:jc w:val="center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01FCB" w:rsidRPr="0017156E" w:rsidRDefault="00601FCB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01FCB" w:rsidRPr="00384ECD" w:rsidRDefault="00384ECD" w:rsidP="00384ECD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189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01FCB" w:rsidRPr="0017156E" w:rsidRDefault="00601FCB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FCB" w:rsidRPr="0017156E" w:rsidTr="004A45CC">
        <w:trPr>
          <w:gridBefore w:val="1"/>
          <w:wBefore w:w="141" w:type="pct"/>
          <w:jc w:val="center"/>
        </w:trPr>
        <w:tc>
          <w:tcPr>
            <w:tcW w:w="20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1FCB" w:rsidRPr="0017156E" w:rsidRDefault="00601FCB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1FCB" w:rsidRPr="0017156E" w:rsidRDefault="00601FCB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1FCB" w:rsidRPr="0017156E" w:rsidRDefault="00601FCB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4A6" w:rsidRPr="0017156E" w:rsidTr="004A45CC">
        <w:tblPrEx>
          <w:jc w:val="left"/>
        </w:tblPrEx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CB" w:rsidRPr="000F44A6" w:rsidRDefault="00601FCB" w:rsidP="00274A05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7" w:name="n159"/>
            <w:bookmarkEnd w:id="7"/>
            <w:r w:rsidRPr="000F44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Рейтинг результативності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CB" w:rsidRPr="000F44A6" w:rsidRDefault="00601FCB" w:rsidP="00274A05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44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Вигоди (підсумок)</w:t>
            </w:r>
          </w:p>
        </w:tc>
        <w:tc>
          <w:tcPr>
            <w:tcW w:w="1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CB" w:rsidRPr="000F44A6" w:rsidRDefault="00601FCB" w:rsidP="00274A05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44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Витрати (підсумок)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CB" w:rsidRPr="000F44A6" w:rsidRDefault="00601FCB" w:rsidP="00274A05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44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Обґрунтування відповідного місця альтернативи у рейтингу</w:t>
            </w:r>
          </w:p>
        </w:tc>
      </w:tr>
      <w:tr w:rsidR="000F44A6" w:rsidRPr="0017156E" w:rsidTr="004A45CC">
        <w:tblPrEx>
          <w:jc w:val="left"/>
        </w:tblPrEx>
        <w:trPr>
          <w:trHeight w:val="130"/>
        </w:trPr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CB" w:rsidRPr="000F44A6" w:rsidRDefault="00601FCB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44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CB" w:rsidRPr="000F44A6" w:rsidRDefault="00384ECD" w:rsidP="00274A05">
            <w:pPr>
              <w:spacing w:before="94" w:after="94" w:line="240" w:lineRule="auto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0F44A6">
              <w:rPr>
                <w:rFonts w:ascii="Times New Roman" w:hAnsi="Times New Roman" w:cs="Times New Roman"/>
                <w:lang w:val="uk-UA"/>
              </w:rPr>
              <w:t>Дотримання прав фізичних та юридичних осіб- потенційних покупців, передбачених законодавством.</w:t>
            </w:r>
          </w:p>
          <w:p w:rsidR="00384ECD" w:rsidRPr="000F44A6" w:rsidRDefault="00384ECD" w:rsidP="000F44A6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44A6">
              <w:rPr>
                <w:rFonts w:ascii="Times New Roman" w:hAnsi="Times New Roman" w:cs="Times New Roman"/>
                <w:lang w:val="uk-UA"/>
              </w:rPr>
              <w:t xml:space="preserve">Виконання вимог чинного законодавства з питань приватизації майна. Збільшення надходження коштів від приватизації (орієнтовно </w:t>
            </w:r>
            <w:r w:rsidR="000F44A6">
              <w:rPr>
                <w:rFonts w:ascii="Times New Roman" w:hAnsi="Times New Roman" w:cs="Times New Roman"/>
                <w:lang w:val="uk-UA"/>
              </w:rPr>
              <w:t>1500 тис.</w:t>
            </w:r>
            <w:r w:rsidRPr="000F44A6">
              <w:rPr>
                <w:rFonts w:ascii="Times New Roman" w:hAnsi="Times New Roman" w:cs="Times New Roman"/>
                <w:lang w:val="uk-UA"/>
              </w:rPr>
              <w:t xml:space="preserve"> грн.) Вирішення соціальних питань міста. </w:t>
            </w:r>
          </w:p>
        </w:tc>
        <w:tc>
          <w:tcPr>
            <w:tcW w:w="1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ECD" w:rsidRPr="000F44A6" w:rsidRDefault="00384ECD" w:rsidP="000F44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44A6">
              <w:rPr>
                <w:rFonts w:ascii="Times New Roman" w:hAnsi="Times New Roman" w:cs="Times New Roman"/>
                <w:lang w:val="uk-UA"/>
              </w:rPr>
              <w:t>Реалізація рішення призведе до незначних одноразових витрат</w:t>
            </w:r>
          </w:p>
          <w:p w:rsidR="00601FCB" w:rsidRPr="000F44A6" w:rsidRDefault="00384ECD" w:rsidP="000F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44A6">
              <w:rPr>
                <w:rFonts w:ascii="Times New Roman" w:hAnsi="Times New Roman" w:cs="Times New Roman"/>
                <w:lang w:val="uk-UA"/>
              </w:rPr>
              <w:t>фізичних та юридичних осіб</w:t>
            </w:r>
            <w:r w:rsidR="000F44A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0F44A6">
              <w:rPr>
                <w:rFonts w:ascii="Times New Roman" w:hAnsi="Times New Roman" w:cs="Times New Roman"/>
                <w:lang w:val="uk-UA"/>
              </w:rPr>
              <w:t xml:space="preserve">потенційних покупців, пов’язаних з ознайомленням із вимогами Порядку, підготовкою та поданням заяви. У разі прийняття рішення витрати органів місцевого самоврядування становитимуть </w:t>
            </w:r>
            <w:r w:rsidR="004B10D8" w:rsidRPr="004B10D8">
              <w:rPr>
                <w:rFonts w:ascii="Times New Roman" w:eastAsia="Times New Roman" w:hAnsi="Times New Roman" w:cs="Times New Roman"/>
                <w:lang w:val="uk-UA" w:eastAsia="ru-RU"/>
              </w:rPr>
              <w:t>866,64</w:t>
            </w:r>
            <w:r w:rsidR="004B10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0F44A6">
              <w:rPr>
                <w:rFonts w:ascii="Times New Roman" w:hAnsi="Times New Roman" w:cs="Times New Roman"/>
                <w:lang w:val="uk-UA"/>
              </w:rPr>
              <w:t xml:space="preserve">грн. Витрати суб’єктів малого підприємництва на виконання запланованого регулювання становитимуть </w:t>
            </w:r>
            <w:r w:rsidR="004B10D8" w:rsidRPr="004B10D8">
              <w:rPr>
                <w:rFonts w:ascii="Times New Roman" w:eastAsia="Times New Roman" w:hAnsi="Times New Roman" w:cs="Times New Roman"/>
                <w:lang w:val="uk-UA" w:eastAsia="ru-RU"/>
              </w:rPr>
              <w:t>1646,64</w:t>
            </w:r>
            <w:r w:rsidR="004B10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0F44A6">
              <w:rPr>
                <w:rFonts w:ascii="Times New Roman" w:hAnsi="Times New Roman" w:cs="Times New Roman"/>
                <w:lang w:val="uk-UA"/>
              </w:rPr>
              <w:t>грн. на рік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ECD" w:rsidRPr="000F44A6" w:rsidRDefault="00384ECD" w:rsidP="000F44A6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44A6">
              <w:rPr>
                <w:rFonts w:ascii="Times New Roman" w:hAnsi="Times New Roman" w:cs="Times New Roman"/>
                <w:lang w:val="uk-UA"/>
              </w:rPr>
              <w:t>Розробка Проекту рішення є єдиним оптимальним способом у досягненні визначених цілей, оскільки такий спосіб дозволить належним чином дотриматись вимог законодавства у сфері приватизації</w:t>
            </w:r>
          </w:p>
        </w:tc>
      </w:tr>
      <w:tr w:rsidR="000F44A6" w:rsidRPr="0017156E" w:rsidTr="004A45CC">
        <w:tblPrEx>
          <w:jc w:val="left"/>
        </w:tblPrEx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CB" w:rsidRPr="000F44A6" w:rsidRDefault="00384ECD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44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CB" w:rsidRPr="000F44A6" w:rsidRDefault="00384ECD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44A6">
              <w:rPr>
                <w:rFonts w:ascii="Times New Roman" w:hAnsi="Times New Roman" w:cs="Times New Roman"/>
                <w:lang w:val="uk-UA"/>
              </w:rPr>
              <w:t xml:space="preserve">Не передбачаються, оскільки на даний час механізм подання заяв, визначений власником </w:t>
            </w:r>
            <w:r w:rsidRPr="000F44A6">
              <w:rPr>
                <w:rFonts w:ascii="Times New Roman" w:hAnsi="Times New Roman" w:cs="Times New Roman"/>
                <w:lang w:val="uk-UA"/>
              </w:rPr>
              <w:lastRenderedPageBreak/>
              <w:t>(міською радою), відсутній</w:t>
            </w:r>
          </w:p>
        </w:tc>
        <w:tc>
          <w:tcPr>
            <w:tcW w:w="1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CB" w:rsidRPr="000F44A6" w:rsidRDefault="000F44A6" w:rsidP="000F44A6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44A6">
              <w:rPr>
                <w:rFonts w:ascii="Times New Roman" w:hAnsi="Times New Roman" w:cs="Times New Roman"/>
                <w:lang w:val="uk-UA"/>
              </w:rPr>
              <w:lastRenderedPageBreak/>
              <w:t xml:space="preserve">Відсутність порядку подачі заяв за встановленою формою. Зменшення кількості потенційних покупців. </w:t>
            </w:r>
            <w:r w:rsidRPr="000F44A6">
              <w:rPr>
                <w:rFonts w:ascii="Times New Roman" w:hAnsi="Times New Roman" w:cs="Times New Roman"/>
                <w:lang w:val="uk-UA"/>
              </w:rPr>
              <w:lastRenderedPageBreak/>
              <w:t xml:space="preserve">Погіршення приватизаційного процесу, стану об’єктів комунальної власності. Зменшення надходжень до міського бюджету від приватизації (орієнтовно </w:t>
            </w:r>
            <w:r>
              <w:rPr>
                <w:rFonts w:ascii="Times New Roman" w:hAnsi="Times New Roman" w:cs="Times New Roman"/>
                <w:lang w:val="uk-UA"/>
              </w:rPr>
              <w:t>1500 тим.</w:t>
            </w:r>
            <w:r w:rsidRPr="000F44A6">
              <w:rPr>
                <w:rFonts w:ascii="Times New Roman" w:hAnsi="Times New Roman" w:cs="Times New Roman"/>
                <w:lang w:val="uk-UA"/>
              </w:rPr>
              <w:t xml:space="preserve"> грн.).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CB" w:rsidRPr="000F44A6" w:rsidRDefault="000F44A6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44A6">
              <w:rPr>
                <w:rFonts w:ascii="Times New Roman" w:hAnsi="Times New Roman" w:cs="Times New Roman"/>
                <w:lang w:val="uk-UA"/>
              </w:rPr>
              <w:lastRenderedPageBreak/>
              <w:t xml:space="preserve">Не може бути застосований, оскільки на даний час механізм подання заяв, визначений </w:t>
            </w:r>
            <w:r w:rsidRPr="000F44A6">
              <w:rPr>
                <w:rFonts w:ascii="Times New Roman" w:hAnsi="Times New Roman" w:cs="Times New Roman"/>
                <w:lang w:val="uk-UA"/>
              </w:rPr>
              <w:lastRenderedPageBreak/>
              <w:t>власником (міською радою), відсутній, а в той же час наявність такого порядку визначено вимогами законодавства.</w:t>
            </w:r>
          </w:p>
        </w:tc>
      </w:tr>
      <w:tr w:rsidR="000F44A6" w:rsidRPr="0017156E" w:rsidTr="004A45CC">
        <w:tblPrEx>
          <w:jc w:val="left"/>
        </w:tblPrEx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CB" w:rsidRPr="0017156E" w:rsidRDefault="00601FCB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CB" w:rsidRPr="0017156E" w:rsidRDefault="00601FCB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CB" w:rsidRPr="0017156E" w:rsidRDefault="00601FCB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CB" w:rsidRPr="0017156E" w:rsidRDefault="00601FCB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1FCB" w:rsidRPr="0017156E" w:rsidRDefault="00601FCB" w:rsidP="00601FCB">
      <w:pPr>
        <w:shd w:val="clear" w:color="auto" w:fill="FFFFFF"/>
        <w:spacing w:after="94" w:line="240" w:lineRule="auto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bdr w:val="none" w:sz="0" w:space="0" w:color="auto" w:frame="1"/>
          <w:lang w:eastAsia="ru-RU"/>
        </w:rPr>
      </w:pPr>
      <w:bookmarkStart w:id="8" w:name="n160"/>
      <w:bookmarkEnd w:id="8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4064"/>
        <w:gridCol w:w="3119"/>
      </w:tblGrid>
      <w:tr w:rsidR="00601FCB" w:rsidRPr="0017156E" w:rsidTr="004768A8">
        <w:tc>
          <w:tcPr>
            <w:tcW w:w="11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1FCB" w:rsidRPr="0017156E" w:rsidRDefault="00601FCB" w:rsidP="00274A05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FCB" w:rsidRPr="00FE5A28" w:rsidRDefault="00601FCB" w:rsidP="00274A05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1FCB" w:rsidRPr="00FE5A28" w:rsidRDefault="00601FCB" w:rsidP="00274A05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FE5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акта</w:t>
            </w:r>
            <w:proofErr w:type="spellEnd"/>
          </w:p>
        </w:tc>
      </w:tr>
      <w:tr w:rsidR="00601FCB" w:rsidRPr="0017156E" w:rsidTr="004768A8">
        <w:tc>
          <w:tcPr>
            <w:tcW w:w="1161" w:type="pc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01FCB" w:rsidRPr="00FE5A28" w:rsidRDefault="00601FCB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1</w:t>
            </w:r>
          </w:p>
        </w:tc>
        <w:tc>
          <w:tcPr>
            <w:tcW w:w="2172" w:type="pc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01FCB" w:rsidRPr="00FE5A28" w:rsidRDefault="000F44A6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A28">
              <w:rPr>
                <w:rFonts w:ascii="Times New Roman" w:hAnsi="Times New Roman" w:cs="Times New Roman"/>
                <w:lang w:val="uk-UA"/>
              </w:rPr>
              <w:t>Розроблення Проекту рішення є єдиним оптимальним способом у досягненні визначених цілей, оскільки такий спосіб дозволить забезпечити дотримання передбачених законодавством прав фізичних та юридичних осіб як потенційних покупців.</w:t>
            </w:r>
          </w:p>
        </w:tc>
        <w:tc>
          <w:tcPr>
            <w:tcW w:w="1667" w:type="pc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01FCB" w:rsidRPr="00FE5A28" w:rsidRDefault="000F44A6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A28">
              <w:rPr>
                <w:rFonts w:ascii="Times New Roman" w:hAnsi="Times New Roman" w:cs="Times New Roman"/>
                <w:lang w:val="uk-UA"/>
              </w:rPr>
              <w:t>Оцінка можливостей запровадження рішення та дотримання суб’єктами господарювання його положень – висока, оскільки запровадження Порядку забезпечить високу вірогідність досягнення поставлених цілей.</w:t>
            </w:r>
          </w:p>
        </w:tc>
      </w:tr>
      <w:tr w:rsidR="00601FCB" w:rsidRPr="0017156E" w:rsidTr="004768A8"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01FCB" w:rsidRPr="00FE5A28" w:rsidRDefault="00601FCB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2</w:t>
            </w:r>
          </w:p>
        </w:tc>
        <w:tc>
          <w:tcPr>
            <w:tcW w:w="21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01FCB" w:rsidRPr="00FE5A28" w:rsidRDefault="000F44A6" w:rsidP="00274A05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A28">
              <w:rPr>
                <w:rFonts w:ascii="Times New Roman" w:hAnsi="Times New Roman" w:cs="Times New Roman"/>
                <w:lang w:val="uk-UA"/>
              </w:rPr>
              <w:t>Не може бути застосований, оскільки на даний час механізм подання заяв, визначений власником (міською радою), відсутній.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601FCB" w:rsidRPr="00FE5A28" w:rsidRDefault="00601FCB" w:rsidP="00274A05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F33835" w:rsidRDefault="00F33835" w:rsidP="00E17BA0">
      <w:pPr>
        <w:pStyle w:val="21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601FCB" w:rsidRDefault="00601FCB" w:rsidP="00601F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</w:pPr>
      <w:r w:rsidRPr="00FE5A28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>V. Механізми та заходи, які забезпечать розв’язання визначеної проблеми</w:t>
      </w:r>
    </w:p>
    <w:p w:rsidR="004768A8" w:rsidRDefault="004768A8" w:rsidP="00601F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</w:pPr>
    </w:p>
    <w:p w:rsidR="006E31B1" w:rsidRDefault="006E31B1" w:rsidP="006E31B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6E31B1">
        <w:rPr>
          <w:rFonts w:ascii="Times New Roman" w:hAnsi="Times New Roman" w:cs="Times New Roman"/>
          <w:sz w:val="28"/>
          <w:szCs w:val="28"/>
          <w:lang w:val="uk-UA"/>
        </w:rPr>
        <w:t xml:space="preserve">Для запровадження цього регуляторного </w:t>
      </w:r>
      <w:proofErr w:type="spellStart"/>
      <w:r w:rsidRPr="006E31B1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6E31B1">
        <w:rPr>
          <w:rFonts w:ascii="Times New Roman" w:hAnsi="Times New Roman" w:cs="Times New Roman"/>
          <w:sz w:val="28"/>
          <w:szCs w:val="28"/>
          <w:lang w:val="uk-UA"/>
        </w:rPr>
        <w:t xml:space="preserve"> будуть здійснені всі необхідні заходи, визначені чинним законодавством з питань регуляторної політики, в </w:t>
      </w:r>
      <w:proofErr w:type="spellStart"/>
      <w:r w:rsidRPr="006E31B1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6E31B1">
        <w:rPr>
          <w:rFonts w:ascii="Times New Roman" w:hAnsi="Times New Roman" w:cs="Times New Roman"/>
          <w:sz w:val="28"/>
          <w:szCs w:val="28"/>
          <w:lang w:val="uk-UA"/>
        </w:rPr>
        <w:t xml:space="preserve">. його прийняття та відстеження, а також: </w:t>
      </w:r>
    </w:p>
    <w:p w:rsidR="006E31B1" w:rsidRDefault="006E31B1" w:rsidP="006E31B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6E31B1">
        <w:rPr>
          <w:rFonts w:ascii="Times New Roman" w:hAnsi="Times New Roman" w:cs="Times New Roman"/>
          <w:sz w:val="28"/>
          <w:szCs w:val="28"/>
          <w:lang w:val="uk-UA"/>
        </w:rPr>
        <w:t xml:space="preserve">. Забезпечити інформування громадськості про вимоги регуляторного </w:t>
      </w:r>
      <w:proofErr w:type="spellStart"/>
      <w:r w:rsidRPr="006E31B1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6E31B1">
        <w:rPr>
          <w:rFonts w:ascii="Times New Roman" w:hAnsi="Times New Roman" w:cs="Times New Roman"/>
          <w:sz w:val="28"/>
          <w:szCs w:val="28"/>
          <w:lang w:val="uk-UA"/>
        </w:rPr>
        <w:t xml:space="preserve"> шляхом його оприлюднення в мережі Інтернет – на офіційному веб-сайті міської ради. </w:t>
      </w:r>
    </w:p>
    <w:p w:rsidR="006E31B1" w:rsidRPr="006E31B1" w:rsidRDefault="006E31B1" w:rsidP="006E31B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6E31B1">
        <w:rPr>
          <w:rFonts w:ascii="Times New Roman" w:hAnsi="Times New Roman" w:cs="Times New Roman"/>
          <w:sz w:val="28"/>
          <w:szCs w:val="28"/>
          <w:lang w:val="uk-UA"/>
        </w:rPr>
        <w:t xml:space="preserve">2. Погодження проекту рішення </w:t>
      </w:r>
      <w:r w:rsidRPr="006E31B1">
        <w:rPr>
          <w:rFonts w:ascii="Times New Roman" w:hAnsi="Times New Roman" w:cs="Times New Roman"/>
          <w:sz w:val="28"/>
          <w:szCs w:val="28"/>
        </w:rPr>
        <w:t>Державною регуляторною службою України.</w:t>
      </w:r>
    </w:p>
    <w:p w:rsidR="00FE5A28" w:rsidRDefault="00FE5A28" w:rsidP="00601FCB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bookmarkStart w:id="9" w:name="n162"/>
      <w:bookmarkEnd w:id="9"/>
    </w:p>
    <w:p w:rsidR="00FE5A28" w:rsidRPr="00FE5A28" w:rsidRDefault="00FE5A28" w:rsidP="00601FCB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601FCB" w:rsidRDefault="00601FCB" w:rsidP="00601F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</w:pPr>
      <w:bookmarkStart w:id="10" w:name="n163"/>
      <w:bookmarkEnd w:id="10"/>
      <w:r w:rsidRPr="0017156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VI</w:t>
      </w:r>
      <w:r w:rsidRPr="006E31B1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 xml:space="preserve">. Оцінка виконання вимог регуляторного </w:t>
      </w:r>
      <w:proofErr w:type="spellStart"/>
      <w:r w:rsidRPr="006E31B1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>акта</w:t>
      </w:r>
      <w:proofErr w:type="spellEnd"/>
      <w:r w:rsidRPr="006E31B1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 xml:space="preserve">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6E31B1" w:rsidRPr="006E31B1" w:rsidRDefault="006E31B1" w:rsidP="00601F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6E31B1" w:rsidRDefault="006E31B1" w:rsidP="006E31B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n164"/>
      <w:bookmarkStart w:id="12" w:name="n166"/>
      <w:bookmarkEnd w:id="11"/>
      <w:bookmarkEnd w:id="12"/>
      <w:r w:rsidRPr="006E31B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питома вага суб’єктів малого підприємництва у загальній кількості суб’єктів господарювання, на яких поширюється регулювання, перевищує 10 відсотків, здійснено розрахунок витрат на запровадження державного регулювання для суб’єктів малого підприємництва згідно з додатком 4 до Методики проведення аналізу впливу регуляторного </w:t>
      </w:r>
      <w:proofErr w:type="spellStart"/>
      <w:r w:rsidRPr="006E31B1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6E31B1">
        <w:rPr>
          <w:rFonts w:ascii="Times New Roman" w:hAnsi="Times New Roman" w:cs="Times New Roman"/>
          <w:sz w:val="28"/>
          <w:szCs w:val="28"/>
          <w:lang w:val="uk-UA"/>
        </w:rPr>
        <w:t xml:space="preserve"> - Тест малого підприємництва (додається).</w:t>
      </w:r>
    </w:p>
    <w:p w:rsidR="006E31B1" w:rsidRPr="006E31B1" w:rsidRDefault="006E31B1" w:rsidP="006E31B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601FCB" w:rsidRPr="006E31B1" w:rsidRDefault="00601FCB" w:rsidP="00601F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6E31B1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 xml:space="preserve">VII. Обґрунтування запропонованого строку дії регуляторного </w:t>
      </w:r>
      <w:proofErr w:type="spellStart"/>
      <w:r w:rsidRPr="006E31B1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>акта</w:t>
      </w:r>
      <w:proofErr w:type="spellEnd"/>
    </w:p>
    <w:p w:rsidR="006E31B1" w:rsidRDefault="006E31B1" w:rsidP="00601F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n167"/>
      <w:bookmarkStart w:id="14" w:name="n168"/>
      <w:bookmarkEnd w:id="13"/>
      <w:bookmarkEnd w:id="14"/>
    </w:p>
    <w:p w:rsidR="006E31B1" w:rsidRDefault="006E31B1" w:rsidP="004A45C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6E31B1">
        <w:rPr>
          <w:rFonts w:ascii="Times New Roman" w:hAnsi="Times New Roman" w:cs="Times New Roman"/>
          <w:sz w:val="28"/>
          <w:szCs w:val="28"/>
          <w:lang w:val="uk-UA"/>
        </w:rPr>
        <w:t xml:space="preserve">Строк дії регуляторного </w:t>
      </w:r>
      <w:proofErr w:type="spellStart"/>
      <w:r w:rsidRPr="006E31B1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6E31B1">
        <w:rPr>
          <w:rFonts w:ascii="Times New Roman" w:hAnsi="Times New Roman" w:cs="Times New Roman"/>
          <w:sz w:val="28"/>
          <w:szCs w:val="28"/>
          <w:lang w:val="uk-UA"/>
        </w:rPr>
        <w:t xml:space="preserve"> є необмеженим у часі, оскільки Закон, на виконання вимог якого розроблено Проект рішення, має необмежений строк дії. Зміна строку дії </w:t>
      </w:r>
      <w:proofErr w:type="spellStart"/>
      <w:r w:rsidRPr="006E31B1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6E31B1">
        <w:rPr>
          <w:rFonts w:ascii="Times New Roman" w:hAnsi="Times New Roman" w:cs="Times New Roman"/>
          <w:sz w:val="28"/>
          <w:szCs w:val="28"/>
          <w:lang w:val="uk-UA"/>
        </w:rPr>
        <w:t xml:space="preserve"> можлива у разі зміни норм Закону, на виконання вимог яких базується Проект рішення. Термін набрання чинності регуляторним актом – відповідно до законодавства – з дня його офіційного опублікування </w:t>
      </w:r>
    </w:p>
    <w:p w:rsidR="00E21EB9" w:rsidRPr="006E31B1" w:rsidRDefault="00E21EB9" w:rsidP="00E21E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01FCB" w:rsidRPr="00E21EB9" w:rsidRDefault="00601FCB" w:rsidP="00601F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</w:pPr>
      <w:r w:rsidRPr="00E21EB9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 xml:space="preserve">VIII. Визначення показників результативності дії регуляторного </w:t>
      </w:r>
      <w:proofErr w:type="spellStart"/>
      <w:r w:rsidRPr="00E21EB9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>акта</w:t>
      </w:r>
      <w:proofErr w:type="spellEnd"/>
    </w:p>
    <w:p w:rsidR="00CD4CBB" w:rsidRDefault="00CD4CBB" w:rsidP="00CD4CBB">
      <w:pPr>
        <w:shd w:val="clear" w:color="auto" w:fill="FFFFFF"/>
        <w:spacing w:after="0" w:line="240" w:lineRule="auto"/>
        <w:ind w:left="281"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5C2C" w:rsidRDefault="00C1701B" w:rsidP="00CD4CBB">
      <w:pPr>
        <w:shd w:val="clear" w:color="auto" w:fill="FFFFFF"/>
        <w:spacing w:after="0" w:line="240" w:lineRule="auto"/>
        <w:ind w:left="281"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1701B">
        <w:rPr>
          <w:rFonts w:ascii="Times New Roman" w:hAnsi="Times New Roman" w:cs="Times New Roman"/>
          <w:sz w:val="28"/>
          <w:szCs w:val="28"/>
          <w:lang w:val="uk-UA"/>
        </w:rPr>
        <w:t xml:space="preserve">Для визначення результативності регуляторного </w:t>
      </w:r>
      <w:proofErr w:type="spellStart"/>
      <w:r w:rsidRPr="00C1701B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C1701B">
        <w:rPr>
          <w:rFonts w:ascii="Times New Roman" w:hAnsi="Times New Roman" w:cs="Times New Roman"/>
          <w:sz w:val="28"/>
          <w:szCs w:val="28"/>
          <w:lang w:val="uk-UA"/>
        </w:rPr>
        <w:t xml:space="preserve"> пропонується встановити такі показники: </w:t>
      </w:r>
    </w:p>
    <w:p w:rsidR="00725C2C" w:rsidRDefault="00C1701B" w:rsidP="00CD4CBB">
      <w:pPr>
        <w:shd w:val="clear" w:color="auto" w:fill="FFFFFF"/>
        <w:spacing w:after="0" w:line="240" w:lineRule="auto"/>
        <w:ind w:left="281"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1701B">
        <w:rPr>
          <w:rFonts w:ascii="Times New Roman" w:hAnsi="Times New Roman" w:cs="Times New Roman"/>
          <w:sz w:val="28"/>
          <w:szCs w:val="28"/>
          <w:lang w:val="uk-UA"/>
        </w:rPr>
        <w:t>розмір надходжень до місцев</w:t>
      </w:r>
      <w:r w:rsidR="00CD4CBB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C1701B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CD4C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701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725C2C" w:rsidRDefault="00C1701B" w:rsidP="00CD4CBB">
      <w:pPr>
        <w:shd w:val="clear" w:color="auto" w:fill="FFFFFF"/>
        <w:spacing w:after="0" w:line="240" w:lineRule="auto"/>
        <w:ind w:left="281"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1701B">
        <w:rPr>
          <w:rFonts w:ascii="Times New Roman" w:hAnsi="Times New Roman" w:cs="Times New Roman"/>
          <w:sz w:val="28"/>
          <w:szCs w:val="28"/>
          <w:lang w:val="uk-UA"/>
        </w:rPr>
        <w:t xml:space="preserve">кількість суб'єктів господарювання та/або фізичних осіб, на яких поширюватиметься дія </w:t>
      </w:r>
      <w:proofErr w:type="spellStart"/>
      <w:r w:rsidRPr="00C1701B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C1701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725C2C" w:rsidRDefault="00C1701B" w:rsidP="00CD4CBB">
      <w:pPr>
        <w:shd w:val="clear" w:color="auto" w:fill="FFFFFF"/>
        <w:spacing w:after="0" w:line="240" w:lineRule="auto"/>
        <w:ind w:left="281"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1701B">
        <w:rPr>
          <w:rFonts w:ascii="Times New Roman" w:hAnsi="Times New Roman" w:cs="Times New Roman"/>
          <w:sz w:val="28"/>
          <w:szCs w:val="28"/>
          <w:lang w:val="uk-UA"/>
        </w:rPr>
        <w:t xml:space="preserve">розмір коштів і час, що витрачатимуться суб'єктами господарювання та/або фізичними особами, пов'язаними з виконанням вимог </w:t>
      </w:r>
      <w:proofErr w:type="spellStart"/>
      <w:r w:rsidRPr="00C1701B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725C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5C2C" w:rsidRDefault="00C1701B" w:rsidP="00CD4CBB">
      <w:pPr>
        <w:shd w:val="clear" w:color="auto" w:fill="FFFFFF"/>
        <w:spacing w:after="0" w:line="240" w:lineRule="auto"/>
        <w:ind w:left="281"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1701B">
        <w:rPr>
          <w:rFonts w:ascii="Times New Roman" w:hAnsi="Times New Roman" w:cs="Times New Roman"/>
          <w:sz w:val="28"/>
          <w:szCs w:val="28"/>
          <w:lang w:val="uk-UA"/>
        </w:rPr>
        <w:t xml:space="preserve">Додаткові прогнозні показники результативності: </w:t>
      </w:r>
    </w:p>
    <w:p w:rsidR="00725C2C" w:rsidRDefault="00C1701B" w:rsidP="00CD4CBB">
      <w:pPr>
        <w:shd w:val="clear" w:color="auto" w:fill="FFFFFF"/>
        <w:spacing w:after="0" w:line="240" w:lineRule="auto"/>
        <w:ind w:left="281"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1701B">
        <w:rPr>
          <w:rFonts w:ascii="Times New Roman" w:hAnsi="Times New Roman" w:cs="Times New Roman"/>
          <w:sz w:val="28"/>
          <w:szCs w:val="28"/>
          <w:lang w:val="uk-UA"/>
        </w:rPr>
        <w:t xml:space="preserve">кількість поданих заяв суб'єктами господарювання та громадянами; </w:t>
      </w:r>
      <w:r w:rsidR="00725C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1701B">
        <w:rPr>
          <w:rFonts w:ascii="Times New Roman" w:hAnsi="Times New Roman" w:cs="Times New Roman"/>
          <w:sz w:val="28"/>
          <w:szCs w:val="28"/>
          <w:lang w:val="uk-UA"/>
        </w:rPr>
        <w:t xml:space="preserve">кількість об’єктів приватизації, що були включені до відповідних переліків приватизації, за заявами суб’єктів господарювання та громадян; </w:t>
      </w:r>
    </w:p>
    <w:p w:rsidR="00C1701B" w:rsidRPr="00C1701B" w:rsidRDefault="00C1701B" w:rsidP="00CD4CBB">
      <w:pPr>
        <w:shd w:val="clear" w:color="auto" w:fill="FFFFFF"/>
        <w:spacing w:after="0" w:line="240" w:lineRule="auto"/>
        <w:ind w:left="281"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1701B">
        <w:rPr>
          <w:rFonts w:ascii="Times New Roman" w:hAnsi="Times New Roman" w:cs="Times New Roman"/>
          <w:sz w:val="28"/>
          <w:szCs w:val="28"/>
          <w:lang w:val="uk-UA"/>
        </w:rPr>
        <w:t>кількість приватизованих об’єктів комунальної власності, включених</w:t>
      </w:r>
      <w:r w:rsidR="00725C2C" w:rsidRPr="00725C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5C2C" w:rsidRPr="00C1701B">
        <w:rPr>
          <w:rFonts w:ascii="Times New Roman" w:hAnsi="Times New Roman" w:cs="Times New Roman"/>
          <w:sz w:val="28"/>
          <w:szCs w:val="28"/>
          <w:lang w:val="uk-UA"/>
        </w:rPr>
        <w:t>до відповідн</w:t>
      </w:r>
      <w:r w:rsidR="00725C2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25C2C" w:rsidRPr="00C1701B">
        <w:rPr>
          <w:rFonts w:ascii="Times New Roman" w:hAnsi="Times New Roman" w:cs="Times New Roman"/>
          <w:sz w:val="28"/>
          <w:szCs w:val="28"/>
          <w:lang w:val="uk-UA"/>
        </w:rPr>
        <w:t xml:space="preserve"> перелік</w:t>
      </w:r>
      <w:r w:rsidR="00725C2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25C2C" w:rsidRPr="00C1701B">
        <w:rPr>
          <w:rFonts w:ascii="Times New Roman" w:hAnsi="Times New Roman" w:cs="Times New Roman"/>
          <w:sz w:val="28"/>
          <w:szCs w:val="28"/>
          <w:lang w:val="uk-UA"/>
        </w:rPr>
        <w:t xml:space="preserve"> приватизації</w:t>
      </w:r>
      <w:r w:rsidRPr="00C1701B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заяв.</w:t>
      </w:r>
    </w:p>
    <w:p w:rsidR="003E5B80" w:rsidRDefault="003E5B80" w:rsidP="00C170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3E5B80" w:rsidRPr="00E21EB9" w:rsidRDefault="003E5B80" w:rsidP="003E5B8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1E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IX. Визначення заходів, за допомогою яких здійснюватиметься відстеження результативності дії регуляторного </w:t>
      </w:r>
      <w:proofErr w:type="spellStart"/>
      <w:r w:rsidRPr="00E21EB9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</w:p>
    <w:p w:rsidR="003E5B80" w:rsidRPr="00E21EB9" w:rsidRDefault="003E5B80" w:rsidP="003E5B8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C1701B" w:rsidRPr="00E21EB9" w:rsidRDefault="003E5B80" w:rsidP="003E5B8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E21EB9">
        <w:rPr>
          <w:rFonts w:ascii="Times New Roman" w:hAnsi="Times New Roman" w:cs="Times New Roman"/>
          <w:sz w:val="28"/>
          <w:szCs w:val="28"/>
          <w:lang w:val="uk-UA"/>
        </w:rPr>
        <w:t xml:space="preserve">Базове відстеження буде здійснено у місячний термін після набрання чинності шляхом обробки наявних результатів. Повторне відстеження буде здійснено через рік після набрання чинності актом. Періодичні відстеження планується здійснювати раз на три роки, починаючи з дня закінчення заходів з повторного відстеження результативності цього </w:t>
      </w:r>
      <w:proofErr w:type="spellStart"/>
      <w:r w:rsidRPr="00E21EB9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E21EB9">
        <w:rPr>
          <w:rFonts w:ascii="Times New Roman" w:hAnsi="Times New Roman" w:cs="Times New Roman"/>
          <w:sz w:val="28"/>
          <w:szCs w:val="28"/>
          <w:lang w:val="uk-UA"/>
        </w:rPr>
        <w:t xml:space="preserve">. Відстеження результативності регуляторного </w:t>
      </w:r>
      <w:proofErr w:type="spellStart"/>
      <w:r w:rsidRPr="00E21EB9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E21EB9">
        <w:rPr>
          <w:rFonts w:ascii="Times New Roman" w:hAnsi="Times New Roman" w:cs="Times New Roman"/>
          <w:sz w:val="28"/>
          <w:szCs w:val="28"/>
          <w:lang w:val="uk-UA"/>
        </w:rPr>
        <w:t xml:space="preserve"> буде здійснюватися органом приватизації </w:t>
      </w:r>
      <w:r w:rsidR="00E21EB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21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1EB9">
        <w:rPr>
          <w:rFonts w:ascii="Times New Roman" w:hAnsi="Times New Roman" w:cs="Times New Roman"/>
          <w:sz w:val="28"/>
          <w:szCs w:val="28"/>
          <w:lang w:val="uk-UA"/>
        </w:rPr>
        <w:t>Управлінням муніципального розвитку Бахмутської міської ради</w:t>
      </w:r>
      <w:r w:rsidRPr="00E21EB9">
        <w:rPr>
          <w:rFonts w:ascii="Times New Roman" w:hAnsi="Times New Roman" w:cs="Times New Roman"/>
          <w:sz w:val="28"/>
          <w:szCs w:val="28"/>
          <w:lang w:val="uk-UA"/>
        </w:rPr>
        <w:t xml:space="preserve"> статистичним методом з використанням статистичних даних, зокрема щодо поданих та зареєстрованих заяв на приватизацію.</w:t>
      </w:r>
    </w:p>
    <w:p w:rsidR="003E5B80" w:rsidRPr="00E21EB9" w:rsidRDefault="003E5B80" w:rsidP="003E5B8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1B6721" w:rsidRPr="00E21EB9" w:rsidRDefault="001B6721" w:rsidP="001B672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bookmarkStart w:id="15" w:name="n169"/>
      <w:bookmarkStart w:id="16" w:name="n170"/>
      <w:bookmarkEnd w:id="15"/>
      <w:bookmarkEnd w:id="16"/>
      <w:r w:rsidRPr="00E21EB9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>ТЕСТ </w:t>
      </w:r>
      <w:r w:rsidRPr="00E21E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br/>
      </w:r>
      <w:r w:rsidRPr="00E21EB9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>малого підприємництва (М-Тест)</w:t>
      </w:r>
    </w:p>
    <w:p w:rsidR="001B6721" w:rsidRPr="004A45CC" w:rsidRDefault="001B6721" w:rsidP="001B6721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17" w:name="n200"/>
      <w:bookmarkEnd w:id="17"/>
      <w:r w:rsidRPr="004A4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1. Консультації з представниками мікро- та малого підприємництва щодо оцінки впливу регулювання</w:t>
      </w:r>
    </w:p>
    <w:p w:rsidR="001B6721" w:rsidRPr="004A45CC" w:rsidRDefault="001B6721" w:rsidP="001B6721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18" w:name="n201"/>
      <w:bookmarkEnd w:id="18"/>
      <w:r w:rsidRPr="004A4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Консультації щодо визначення впливу запропонованого регулювання на суб’єктів малого підприємництва та визначення детального переліку </w:t>
      </w:r>
      <w:r w:rsidRPr="004A4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процедур, виконання яких необхідно для здійснення регулювання, проведено розробником у період з </w:t>
      </w:r>
      <w:r w:rsidR="004A4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11.</w:t>
      </w:r>
      <w:r w:rsidR="00345996" w:rsidRPr="004A4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05.</w:t>
      </w:r>
      <w:r w:rsidRPr="004A4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20</w:t>
      </w:r>
      <w:r w:rsidR="00345996" w:rsidRPr="004A4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21</w:t>
      </w:r>
      <w:r w:rsidRPr="004A4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по </w:t>
      </w:r>
      <w:r w:rsidR="00345996" w:rsidRPr="004A4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31</w:t>
      </w:r>
      <w:r w:rsidR="004A4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.</w:t>
      </w:r>
      <w:r w:rsidR="00345996" w:rsidRPr="004A4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05,</w:t>
      </w:r>
      <w:r w:rsidRPr="004A4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20</w:t>
      </w:r>
      <w:r w:rsidR="00345996" w:rsidRPr="004A4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21</w:t>
      </w:r>
      <w:r w:rsidRPr="004A4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3969"/>
        <w:gridCol w:w="998"/>
        <w:gridCol w:w="3684"/>
      </w:tblGrid>
      <w:tr w:rsidR="001B6721" w:rsidRPr="00E21EB9" w:rsidTr="00E0025B">
        <w:trPr>
          <w:jc w:val="center"/>
        </w:trPr>
        <w:tc>
          <w:tcPr>
            <w:tcW w:w="381" w:type="pct"/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9" w:name="n202"/>
            <w:bookmarkEnd w:id="19"/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Порядковий номер</w:t>
            </w:r>
          </w:p>
        </w:tc>
        <w:tc>
          <w:tcPr>
            <w:tcW w:w="2119" w:type="pct"/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 консультації (публічні консультації прямі (круглі столи, наради, робочі зустрічі тощо), інтернет-консультації прямі (інтернет-форуми, соціальні мережі тощо), запити (до підприємців, експертів, науковців тощо)</w:t>
            </w:r>
          </w:p>
        </w:tc>
        <w:tc>
          <w:tcPr>
            <w:tcW w:w="533" w:type="pct"/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учасників консультацій, осіб</w:t>
            </w:r>
          </w:p>
        </w:tc>
        <w:tc>
          <w:tcPr>
            <w:tcW w:w="1967" w:type="pct"/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Основні результати консультацій (опис)</w:t>
            </w:r>
          </w:p>
        </w:tc>
      </w:tr>
      <w:tr w:rsidR="00E0025B" w:rsidRPr="008C68FD" w:rsidTr="00E0025B">
        <w:trPr>
          <w:jc w:val="center"/>
        </w:trPr>
        <w:tc>
          <w:tcPr>
            <w:tcW w:w="381" w:type="pct"/>
          </w:tcPr>
          <w:p w:rsidR="00E0025B" w:rsidRPr="00E0025B" w:rsidRDefault="00E0025B" w:rsidP="00E0025B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02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19" w:type="pct"/>
          </w:tcPr>
          <w:p w:rsidR="00E0025B" w:rsidRPr="00E0025B" w:rsidRDefault="00E0025B" w:rsidP="00E0025B">
            <w:pPr>
              <w:shd w:val="clear" w:color="auto" w:fill="FFFFFF"/>
              <w:spacing w:after="0" w:line="240" w:lineRule="auto"/>
              <w:ind w:firstLine="28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E00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Усні запити, в тому числі телефонні     дзвінки</w:t>
            </w:r>
          </w:p>
          <w:p w:rsidR="00E0025B" w:rsidRPr="00E0025B" w:rsidRDefault="00E0025B" w:rsidP="00E0025B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3" w:type="pct"/>
          </w:tcPr>
          <w:p w:rsidR="00E0025B" w:rsidRPr="00E0025B" w:rsidRDefault="00E0025B" w:rsidP="00E0025B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02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967" w:type="pct"/>
          </w:tcPr>
          <w:p w:rsidR="00E0025B" w:rsidRPr="00E0025B" w:rsidRDefault="00E0025B" w:rsidP="00E0025B">
            <w:pPr>
              <w:spacing w:before="94" w:after="94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0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Отримання інформації та пропозицій від СПД, зокрема,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00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отримано інформацію щодо необхідних ресурсів, а саме витрат (витрат часу, трудових витрат, грошових та матеріальних) для їх виконання вимог регулювання.</w:t>
            </w:r>
          </w:p>
        </w:tc>
      </w:tr>
    </w:tbl>
    <w:p w:rsidR="00E0025B" w:rsidRDefault="00E0025B" w:rsidP="00E0025B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n203"/>
      <w:bookmarkEnd w:id="20"/>
      <w:r w:rsidRPr="00E0025B">
        <w:rPr>
          <w:rFonts w:ascii="Times New Roman" w:hAnsi="Times New Roman" w:cs="Times New Roman"/>
          <w:sz w:val="28"/>
          <w:szCs w:val="28"/>
          <w:lang w:val="uk-UA"/>
        </w:rPr>
        <w:t xml:space="preserve">2. Вимірювання впливу регулювання на суб'єктів малого підприємництва: кількість суб'єктів малого підприємництва, на яких поширюється регулювання: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E0025B">
        <w:rPr>
          <w:rFonts w:ascii="Times New Roman" w:hAnsi="Times New Roman" w:cs="Times New Roman"/>
          <w:sz w:val="28"/>
          <w:szCs w:val="28"/>
          <w:lang w:val="uk-UA"/>
        </w:rPr>
        <w:t xml:space="preserve"> одиниці; питома вага суб'єктів малого підприємництва у загальній кількості суб'єктів господарювання, що орендують комунальне майно та на яких проблема справляє вплив: 100 відсотків. </w:t>
      </w:r>
    </w:p>
    <w:p w:rsidR="001B6721" w:rsidRPr="00E21EB9" w:rsidRDefault="00E0025B" w:rsidP="001B6721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0025B">
        <w:rPr>
          <w:rFonts w:ascii="Times New Roman" w:hAnsi="Times New Roman" w:cs="Times New Roman"/>
          <w:sz w:val="28"/>
          <w:szCs w:val="28"/>
          <w:lang w:val="uk-UA"/>
        </w:rPr>
        <w:t>3. Розрахунок витрат суб’єктів малого підприємництва на виконання вимог регулювання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4393"/>
        <w:gridCol w:w="1559"/>
        <w:gridCol w:w="1278"/>
        <w:gridCol w:w="1132"/>
      </w:tblGrid>
      <w:tr w:rsidR="001B6721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B6721" w:rsidRPr="00E21EB9" w:rsidRDefault="001B6721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21" w:name="n207"/>
            <w:bookmarkEnd w:id="21"/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Порядковий номер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721" w:rsidRPr="00E21EB9" w:rsidRDefault="001B6721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Найменування оцінки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721" w:rsidRPr="00E21EB9" w:rsidRDefault="001B6721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перший рік (стартовий рік впровадження регулювання)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721" w:rsidRPr="00E21EB9" w:rsidRDefault="001B6721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Періодичні (за наступний рік)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721" w:rsidRPr="00E21EB9" w:rsidRDefault="001B6721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Витрати за</w:t>
            </w: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п’ять років</w:t>
            </w:r>
          </w:p>
        </w:tc>
      </w:tr>
      <w:tr w:rsidR="007B4484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B4484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484" w:rsidRPr="00E21EB9" w:rsidRDefault="00806E5A" w:rsidP="00806E5A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необхідного обладнання (пристроїв, машин, механізмів)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484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484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4484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B4484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B4484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484" w:rsidRPr="00E21EB9" w:rsidRDefault="00806E5A" w:rsidP="00806E5A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Процедури повірки та/або постановки на відповідний облік у визначеному органі державної влади чи місцевого самоврядування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484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484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4484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B4484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B4484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484" w:rsidRPr="00E21EB9" w:rsidRDefault="00806E5A" w:rsidP="00806E5A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Процедури експлуатації обладнання (експлуатаційні витрати - витратні матеріали)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484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484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4484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806E5A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806E5A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Процедури обслуговування обладнання (технічне обслуговування)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806E5A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процедури (уточнити)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06E5A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DF2CD7" w:rsidRDefault="00806E5A" w:rsidP="00806E5A">
            <w:pPr>
              <w:spacing w:before="94" w:after="94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>витягу</w:t>
            </w:r>
            <w:proofErr w:type="spellEnd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 xml:space="preserve"> СПД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</w:t>
            </w:r>
          </w:p>
        </w:tc>
      </w:tr>
      <w:tr w:rsidR="00806E5A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DF2CD7" w:rsidRDefault="00806E5A" w:rsidP="00806E5A">
            <w:pPr>
              <w:spacing w:before="94" w:after="94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>Оформлення</w:t>
            </w:r>
            <w:proofErr w:type="spellEnd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>копій</w:t>
            </w:r>
            <w:proofErr w:type="spellEnd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>установчих</w:t>
            </w:r>
            <w:proofErr w:type="spellEnd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>аркушів</w:t>
            </w:r>
            <w:proofErr w:type="spellEnd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 xml:space="preserve"> А4 -10 шт. </w:t>
            </w:r>
            <w:proofErr w:type="spellStart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>сторінки</w:t>
            </w:r>
            <w:proofErr w:type="spellEnd"/>
            <w:r w:rsidRPr="00DF2CD7">
              <w:rPr>
                <w:rFonts w:ascii="Times New Roman" w:hAnsi="Times New Roman" w:cs="Times New Roman"/>
                <w:sz w:val="24"/>
                <w:szCs w:val="24"/>
              </w:rPr>
              <w:t xml:space="preserve"> 1,50 грн.)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A07BE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6E5A" w:rsidRPr="00E21EB9" w:rsidRDefault="008A07BE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</w:tr>
      <w:tr w:rsidR="00806E5A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Разом, грн.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A07BE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5A" w:rsidRPr="00E21EB9" w:rsidRDefault="00806E5A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6E5A" w:rsidRPr="00E21EB9" w:rsidRDefault="008A07BE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130</w:t>
            </w:r>
          </w:p>
        </w:tc>
      </w:tr>
      <w:tr w:rsidR="008A07BE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8A07BE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8A07BE" w:rsidP="008A07BE">
            <w:pPr>
              <w:spacing w:before="94" w:after="94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суб’єктів господарювання, що повинні виконати вимоги регулювання, одиниць</w:t>
            </w:r>
          </w:p>
        </w:tc>
        <w:tc>
          <w:tcPr>
            <w:tcW w:w="21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8A07BE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8A07BE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07BE" w:rsidRDefault="008A07BE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8A07BE" w:rsidP="008A07BE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Сумарно, гривень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8A07BE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8A07BE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7BE" w:rsidRPr="00E21EB9" w:rsidRDefault="008A07BE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780              </w:t>
            </w:r>
          </w:p>
        </w:tc>
      </w:tr>
      <w:tr w:rsidR="001D3B57" w:rsidRPr="008C68FD" w:rsidTr="008C68FD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D3B57" w:rsidRDefault="001D3B57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B57" w:rsidRPr="001D3B57" w:rsidRDefault="001D3B57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D3B57">
              <w:rPr>
                <w:rFonts w:ascii="Times New Roman" w:hAnsi="Times New Roman" w:cs="Times New Roman"/>
                <w:lang w:val="uk-UA"/>
              </w:rPr>
              <w:t>Оцінка вартості адміністративних процедур суб’єктів малого підприємництва щодо виконання регулювання та звітування</w:t>
            </w:r>
          </w:p>
        </w:tc>
      </w:tr>
      <w:tr w:rsidR="008A07BE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07BE" w:rsidRDefault="004645D9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4645D9" w:rsidP="004645D9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Процедури отримання первинної інформації про вимоги регулювання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36,11*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7BE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36,11</w:t>
            </w:r>
          </w:p>
        </w:tc>
      </w:tr>
      <w:tr w:rsidR="008A07BE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07BE" w:rsidRDefault="00EA0612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EA0612" w:rsidP="008A07BE">
            <w:pPr>
              <w:spacing w:before="94" w:after="94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Процедури організації виконання вимог регулювання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108,33**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7BE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108,33</w:t>
            </w:r>
            <w:r w:rsidR="008A07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</w:t>
            </w:r>
          </w:p>
        </w:tc>
      </w:tr>
      <w:tr w:rsidR="008A07BE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07BE" w:rsidRDefault="00EA0612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612" w:rsidRPr="00E21EB9" w:rsidRDefault="00EA0612" w:rsidP="00EA0612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Процедури офіційного звітування</w:t>
            </w:r>
          </w:p>
          <w:p w:rsidR="008A07BE" w:rsidRPr="00E21EB9" w:rsidRDefault="008A07BE" w:rsidP="008A07BE">
            <w:pPr>
              <w:spacing w:before="94" w:after="94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7BE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8A07BE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07BE" w:rsidRDefault="00EA0612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  <w:p w:rsidR="008A07BE" w:rsidRDefault="008A07BE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EA0612" w:rsidP="00EA0612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Процедури щодо забезпечення процесу перевірок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7BE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7BE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="00EA06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</w:t>
            </w:r>
          </w:p>
          <w:p w:rsidR="00EA0612" w:rsidRDefault="00EA0612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</w:t>
            </w:r>
          </w:p>
        </w:tc>
      </w:tr>
      <w:tr w:rsidR="00EA0612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0612" w:rsidRDefault="005475B8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612" w:rsidRPr="00E21EB9" w:rsidRDefault="005475B8" w:rsidP="00EA0612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процедури (уточнити)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612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612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0612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="00EA06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</w:t>
            </w:r>
            <w:r w:rsidR="00E344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EA06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</w:tr>
      <w:tr w:rsidR="00E3443C" w:rsidRPr="00E21EB9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443C" w:rsidRDefault="005475B8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43C" w:rsidRPr="00E21EB9" w:rsidRDefault="005475B8" w:rsidP="005475B8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Разом, гривень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43C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144,44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43C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443C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144,4</w:t>
            </w:r>
            <w:r w:rsidR="00E344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</w:t>
            </w:r>
            <w:r w:rsidR="004C5A9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E344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C5A9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E344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</w:t>
            </w:r>
          </w:p>
        </w:tc>
      </w:tr>
      <w:tr w:rsidR="004C5A96" w:rsidRPr="005475B8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C5A96" w:rsidRDefault="005475B8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96" w:rsidRPr="00E21EB9" w:rsidRDefault="005475B8" w:rsidP="00EA0612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суб’єктів малого підприємництва, що повинні виконати вимоги регулювання, одиниць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96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96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4C5A96" w:rsidRPr="005475B8" w:rsidTr="004B10D8">
        <w:trPr>
          <w:trHeight w:val="15"/>
        </w:trPr>
        <w:tc>
          <w:tcPr>
            <w:tcW w:w="53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C5A96" w:rsidRDefault="005475B8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75B8" w:rsidRPr="00E21EB9" w:rsidRDefault="005475B8" w:rsidP="005475B8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Сумарно, гривень</w:t>
            </w:r>
          </w:p>
          <w:p w:rsidR="004C5A96" w:rsidRPr="00E21EB9" w:rsidRDefault="004C5A96" w:rsidP="00EA0612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5A96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866,64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5A96" w:rsidRPr="00E21EB9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C5A96" w:rsidRDefault="00F40054" w:rsidP="00EC43B3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866,64</w:t>
            </w:r>
          </w:p>
        </w:tc>
      </w:tr>
      <w:tr w:rsidR="001B6721" w:rsidRPr="00E21EB9" w:rsidTr="00F40054">
        <w:trPr>
          <w:trHeight w:val="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5475B8" w:rsidP="00F40054">
            <w:pPr>
              <w:spacing w:before="94" w:after="94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75B8">
              <w:rPr>
                <w:rFonts w:ascii="Times New Roman" w:hAnsi="Times New Roman" w:cs="Times New Roman"/>
                <w:lang w:val="uk-UA"/>
              </w:rPr>
              <w:t>* - вважається, що для отримання первинної інформації, суб’єкту малого підприємництва необхідно не більше 1 години. Мінімальна заробітна плата за годину встановлена станом на 01.01.20</w:t>
            </w:r>
            <w:r w:rsidR="001D3B57">
              <w:rPr>
                <w:rFonts w:ascii="Times New Roman" w:hAnsi="Times New Roman" w:cs="Times New Roman"/>
                <w:lang w:val="uk-UA"/>
              </w:rPr>
              <w:t>21</w:t>
            </w:r>
            <w:r w:rsidRPr="005475B8">
              <w:rPr>
                <w:rFonts w:ascii="Times New Roman" w:hAnsi="Times New Roman" w:cs="Times New Roman"/>
                <w:lang w:val="uk-UA"/>
              </w:rPr>
              <w:t xml:space="preserve"> в сумі </w:t>
            </w:r>
            <w:r w:rsidR="001D3B57">
              <w:rPr>
                <w:rFonts w:ascii="Times New Roman" w:hAnsi="Times New Roman" w:cs="Times New Roman"/>
                <w:lang w:val="uk-UA"/>
              </w:rPr>
              <w:t>36</w:t>
            </w:r>
            <w:r w:rsidR="00F40054">
              <w:rPr>
                <w:rFonts w:ascii="Times New Roman" w:hAnsi="Times New Roman" w:cs="Times New Roman"/>
                <w:lang w:val="uk-UA"/>
              </w:rPr>
              <w:t>,</w:t>
            </w:r>
            <w:r w:rsidR="001D3B57">
              <w:rPr>
                <w:rFonts w:ascii="Times New Roman" w:hAnsi="Times New Roman" w:cs="Times New Roman"/>
                <w:lang w:val="uk-UA"/>
              </w:rPr>
              <w:t>11</w:t>
            </w:r>
            <w:r w:rsidRPr="005475B8">
              <w:rPr>
                <w:rFonts w:ascii="Times New Roman" w:hAnsi="Times New Roman" w:cs="Times New Roman"/>
                <w:lang w:val="uk-UA"/>
              </w:rPr>
              <w:t xml:space="preserve"> грн.; ** - заробітна плата за години, витрачені на замовлення послуг інших установах (закладах, організаціях), подання документації тощо (3 години х </w:t>
            </w:r>
            <w:r w:rsidR="00F40054">
              <w:rPr>
                <w:rFonts w:ascii="Times New Roman" w:hAnsi="Times New Roman" w:cs="Times New Roman"/>
                <w:lang w:val="uk-UA"/>
              </w:rPr>
              <w:t>36,11</w:t>
            </w:r>
            <w:r w:rsidRPr="005475B8">
              <w:rPr>
                <w:rFonts w:ascii="Times New Roman" w:hAnsi="Times New Roman" w:cs="Times New Roman"/>
                <w:lang w:val="uk-UA"/>
              </w:rPr>
              <w:t xml:space="preserve"> = </w:t>
            </w:r>
            <w:r w:rsidR="00F40054">
              <w:rPr>
                <w:rFonts w:ascii="Times New Roman" w:hAnsi="Times New Roman" w:cs="Times New Roman"/>
                <w:lang w:val="uk-UA"/>
              </w:rPr>
              <w:t>108,33</w:t>
            </w:r>
            <w:r w:rsidRPr="005475B8">
              <w:rPr>
                <w:rFonts w:ascii="Times New Roman" w:hAnsi="Times New Roman" w:cs="Times New Roman"/>
                <w:lang w:val="uk-UA"/>
              </w:rPr>
              <w:t xml:space="preserve"> грн.)</w:t>
            </w:r>
            <w:r w:rsidR="004C5A96" w:rsidRPr="005475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EA0612" w:rsidRPr="005475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</w:tbl>
    <w:p w:rsidR="00F40054" w:rsidRDefault="00F40054" w:rsidP="001B6721">
      <w:pPr>
        <w:shd w:val="clear" w:color="auto" w:fill="FFFFFF"/>
        <w:spacing w:after="0" w:line="240" w:lineRule="auto"/>
        <w:ind w:left="281" w:right="28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bookmarkStart w:id="22" w:name="n208"/>
      <w:bookmarkEnd w:id="22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1B6721" w:rsidRPr="004B10D8" w:rsidRDefault="001B6721" w:rsidP="001B6721">
      <w:pPr>
        <w:shd w:val="clear" w:color="auto" w:fill="FFFFFF"/>
        <w:spacing w:after="0" w:line="240" w:lineRule="auto"/>
        <w:ind w:left="281" w:right="281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B10D8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  <w:t>Бюджетні витрати на адміністрування регулювання суб’єктів малого підприємництва</w:t>
      </w:r>
    </w:p>
    <w:p w:rsidR="004B10D8" w:rsidRPr="004B10D8" w:rsidRDefault="00DF2CD7" w:rsidP="004B10D8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23" w:name="n209"/>
      <w:bookmarkStart w:id="24" w:name="n210"/>
      <w:bookmarkEnd w:id="23"/>
      <w:bookmarkEnd w:id="24"/>
      <w:r w:rsidRPr="004B10D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О</w:t>
      </w:r>
      <w:r w:rsidR="001B6721" w:rsidRPr="004B10D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рган, для якого здійснюється розрахунок вартості адміністрування регулювання:</w:t>
      </w:r>
      <w:bookmarkStart w:id="25" w:name="n211"/>
      <w:bookmarkEnd w:id="25"/>
      <w:r w:rsidR="004B10D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B10D8" w:rsidRPr="004B10D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структурний підрозділ Бахмутської міської ради </w:t>
      </w:r>
    </w:p>
    <w:p w:rsidR="001B6721" w:rsidRPr="004B10D8" w:rsidRDefault="001B6721" w:rsidP="001B6721">
      <w:pPr>
        <w:shd w:val="clear" w:color="auto" w:fill="FFFFFF"/>
        <w:spacing w:after="0" w:line="240" w:lineRule="auto"/>
        <w:ind w:left="281" w:right="28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B10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(назва органу)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1096"/>
        <w:gridCol w:w="1439"/>
        <w:gridCol w:w="1245"/>
        <w:gridCol w:w="1342"/>
        <w:gridCol w:w="1689"/>
      </w:tblGrid>
      <w:tr w:rsidR="001B6721" w:rsidRPr="00E21EB9" w:rsidTr="00510774">
        <w:tc>
          <w:tcPr>
            <w:tcW w:w="1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26" w:name="n212"/>
            <w:bookmarkEnd w:id="26"/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Процедура регулювання суб’єктів малого підприємництва (розрахунок на одного типового суб’єкта господарювання малого підприємництва - за потреби окремо для суб’єктів малого та </w:t>
            </w: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мікро-</w:t>
            </w:r>
            <w:proofErr w:type="spellStart"/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підприємництв</w:t>
            </w:r>
            <w:proofErr w:type="spellEnd"/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Планові витрати часу на процедуру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Вартість часу співробітника органу державної влади відповідної категорії (заробітна плата)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 кількості процедур за рік, що припадають на одного суб’єкта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 кількості  суб’єктів, що підпадають під дію процедури регулювання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721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Витрати на адміністрування регулювання* (за рік), гривень</w:t>
            </w:r>
          </w:p>
          <w:p w:rsidR="007303FE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03FE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03FE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03FE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              </w:t>
            </w:r>
          </w:p>
        </w:tc>
      </w:tr>
      <w:tr w:rsidR="007303FE" w:rsidRPr="00E21EB9" w:rsidTr="00510774">
        <w:tc>
          <w:tcPr>
            <w:tcW w:w="1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3FE" w:rsidRPr="004B10D8" w:rsidRDefault="007303FE" w:rsidP="007303FE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B10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 Облік суб’єкта господарювання, що перебуває у сфері регулювання (занесення інформації до бази даних</w:t>
            </w:r>
            <w:r w:rsidRPr="004B10D8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303FE" w:rsidRPr="00E21EB9" w:rsidTr="00510774">
        <w:tc>
          <w:tcPr>
            <w:tcW w:w="1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7303FE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Поточний контроль за суб’єктом господарювання, що перебуває у сфері регулювання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303FE" w:rsidRPr="00E21EB9" w:rsidTr="00510774">
        <w:tc>
          <w:tcPr>
            <w:tcW w:w="1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7303FE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 Підготовка, затвердження та опрацювання одного окремого </w:t>
            </w:r>
            <w:proofErr w:type="spellStart"/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акта</w:t>
            </w:r>
            <w:proofErr w:type="spellEnd"/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 порушення вимог регулювання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303FE" w:rsidRPr="00E21EB9" w:rsidTr="00510774">
        <w:tc>
          <w:tcPr>
            <w:tcW w:w="1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7303FE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Реалізація одного окремого рішення щодо порушення вимог регулювання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303FE" w:rsidRPr="00E21EB9" w:rsidTr="00510774">
        <w:tc>
          <w:tcPr>
            <w:tcW w:w="1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7303FE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 Оскарження одного окремого рішення суб’єктами господарювання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7303FE" w:rsidRPr="00E21EB9" w:rsidTr="00510774">
        <w:tc>
          <w:tcPr>
            <w:tcW w:w="1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7303FE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 Підготовка звітності за результатами регулювання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03FE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7303FE" w:rsidRPr="00E21EB9" w:rsidTr="00510774">
        <w:tc>
          <w:tcPr>
            <w:tcW w:w="1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3FE" w:rsidRDefault="007303FE" w:rsidP="007303FE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 Інші адміністративні процедури (уточнити): </w:t>
            </w:r>
          </w:p>
          <w:p w:rsidR="007303FE" w:rsidRDefault="007303FE" w:rsidP="007303FE">
            <w:pPr>
              <w:spacing w:before="94" w:after="94" w:line="240" w:lineRule="auto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7303FE">
              <w:rPr>
                <w:rFonts w:ascii="Times New Roman" w:hAnsi="Times New Roman" w:cs="Times New Roman"/>
                <w:lang w:val="uk-UA"/>
              </w:rPr>
              <w:t xml:space="preserve">прийняття, реєстрація заяви, передача виконавцю </w:t>
            </w:r>
          </w:p>
          <w:p w:rsidR="00433A24" w:rsidRDefault="007303FE" w:rsidP="007303FE">
            <w:pPr>
              <w:spacing w:before="94" w:after="94" w:line="240" w:lineRule="auto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7303FE">
              <w:rPr>
                <w:rFonts w:ascii="Times New Roman" w:hAnsi="Times New Roman" w:cs="Times New Roman"/>
                <w:lang w:val="uk-UA"/>
              </w:rPr>
              <w:t xml:space="preserve">перевірка наданого пакету документів </w:t>
            </w:r>
          </w:p>
          <w:p w:rsidR="00433A24" w:rsidRDefault="007303FE" w:rsidP="007303FE">
            <w:pPr>
              <w:spacing w:before="94" w:after="94" w:line="240" w:lineRule="auto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7303FE">
              <w:rPr>
                <w:rFonts w:ascii="Times New Roman" w:hAnsi="Times New Roman" w:cs="Times New Roman"/>
                <w:lang w:val="uk-UA"/>
              </w:rPr>
              <w:t xml:space="preserve">за умови виявлення недоліків повернення на доопрацювання разом з супровідним листом </w:t>
            </w:r>
          </w:p>
          <w:p w:rsidR="00433A24" w:rsidRDefault="007303FE" w:rsidP="007303FE">
            <w:pPr>
              <w:spacing w:before="94" w:after="94" w:line="240" w:lineRule="auto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7303FE">
              <w:rPr>
                <w:rFonts w:ascii="Times New Roman" w:hAnsi="Times New Roman" w:cs="Times New Roman"/>
                <w:lang w:val="uk-UA"/>
              </w:rPr>
              <w:t xml:space="preserve">Оформлення відмови у разі наявності підстав </w:t>
            </w:r>
          </w:p>
          <w:p w:rsidR="00433A24" w:rsidRDefault="007303FE" w:rsidP="007303FE">
            <w:pPr>
              <w:spacing w:before="94" w:after="94" w:line="240" w:lineRule="auto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7303FE">
              <w:rPr>
                <w:rFonts w:ascii="Times New Roman" w:hAnsi="Times New Roman" w:cs="Times New Roman"/>
                <w:lang w:val="uk-UA"/>
              </w:rPr>
              <w:t xml:space="preserve"> підготовка проекту відповідного рішення (наказу) та його візування </w:t>
            </w:r>
          </w:p>
          <w:p w:rsidR="007303FE" w:rsidRPr="00E21EB9" w:rsidRDefault="007303FE" w:rsidP="00433A24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303FE">
              <w:rPr>
                <w:rFonts w:ascii="Times New Roman" w:hAnsi="Times New Roman" w:cs="Times New Roman"/>
                <w:lang w:val="uk-UA"/>
              </w:rPr>
              <w:t xml:space="preserve">видача орендарю </w:t>
            </w:r>
            <w:r w:rsidRPr="007303FE">
              <w:rPr>
                <w:rFonts w:ascii="Times New Roman" w:hAnsi="Times New Roman" w:cs="Times New Roman"/>
                <w:lang w:val="uk-UA"/>
              </w:rPr>
              <w:lastRenderedPageBreak/>
              <w:t>примірника прийнятого рішення з супровідним листом, або листа з відмовою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Default="00F01EFA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 4 год</w:t>
            </w:r>
          </w:p>
          <w:p w:rsidR="007303FE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03FE" w:rsidRDefault="007303FE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7303FE">
              <w:rPr>
                <w:rFonts w:ascii="Times New Roman" w:hAnsi="Times New Roman" w:cs="Times New Roman"/>
                <w:lang w:val="uk-UA"/>
              </w:rPr>
              <w:t>15 хв +</w:t>
            </w:r>
          </w:p>
          <w:p w:rsidR="00433A24" w:rsidRDefault="00433A24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</w:p>
          <w:p w:rsidR="00433A24" w:rsidRDefault="00433A24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</w:p>
          <w:p w:rsidR="00433A24" w:rsidRDefault="00433A24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7303FE">
              <w:rPr>
                <w:rFonts w:ascii="Times New Roman" w:hAnsi="Times New Roman" w:cs="Times New Roman"/>
                <w:lang w:val="uk-UA"/>
              </w:rPr>
              <w:t>2 год. +</w:t>
            </w:r>
          </w:p>
          <w:p w:rsidR="00433A24" w:rsidRDefault="00433A24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7303FE">
              <w:rPr>
                <w:rFonts w:ascii="Times New Roman" w:hAnsi="Times New Roman" w:cs="Times New Roman"/>
                <w:lang w:val="uk-UA"/>
              </w:rPr>
              <w:t>30 хв +</w:t>
            </w:r>
          </w:p>
          <w:p w:rsidR="00433A24" w:rsidRDefault="00433A24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</w:p>
          <w:p w:rsidR="00433A24" w:rsidRDefault="00433A24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</w:p>
          <w:p w:rsidR="00433A24" w:rsidRDefault="00433A24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7303FE">
              <w:rPr>
                <w:rFonts w:ascii="Times New Roman" w:hAnsi="Times New Roman" w:cs="Times New Roman"/>
                <w:lang w:val="uk-UA"/>
              </w:rPr>
              <w:t>30 хв +</w:t>
            </w:r>
          </w:p>
          <w:p w:rsidR="00433A24" w:rsidRDefault="00433A24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</w:p>
          <w:p w:rsidR="00433A24" w:rsidRDefault="00433A24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</w:p>
          <w:p w:rsidR="00433A24" w:rsidRDefault="00433A24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7303FE">
              <w:rPr>
                <w:rFonts w:ascii="Times New Roman" w:hAnsi="Times New Roman" w:cs="Times New Roman"/>
                <w:lang w:val="uk-UA"/>
              </w:rPr>
              <w:t>30 хв +</w:t>
            </w:r>
          </w:p>
          <w:p w:rsidR="00433A24" w:rsidRDefault="00433A24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</w:p>
          <w:p w:rsidR="00433A24" w:rsidRPr="00E21EB9" w:rsidRDefault="00433A24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15 хв.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8C68FD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36,11</w:t>
            </w:r>
            <w:r w:rsidR="004A45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*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8C68FD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8C68FD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03FE" w:rsidRDefault="008C68FD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866,64</w:t>
            </w:r>
          </w:p>
        </w:tc>
      </w:tr>
      <w:tr w:rsidR="007303FE" w:rsidRPr="00E21EB9" w:rsidTr="00510774">
        <w:tc>
          <w:tcPr>
            <w:tcW w:w="1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3FE" w:rsidRPr="008C68FD" w:rsidRDefault="008C68FD" w:rsidP="007303FE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C68FD">
              <w:rPr>
                <w:rFonts w:ascii="Times New Roman" w:hAnsi="Times New Roman" w:cs="Times New Roman"/>
                <w:lang w:val="uk-UA"/>
              </w:rPr>
              <w:lastRenderedPageBreak/>
              <w:t>Разом за рік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8C68FD" w:rsidP="008C68FD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8C68FD" w:rsidP="008C68FD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8C68FD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8C68FD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03FE" w:rsidRDefault="008C68FD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866,64</w:t>
            </w:r>
          </w:p>
        </w:tc>
      </w:tr>
      <w:tr w:rsidR="007303FE" w:rsidRPr="00E21EB9" w:rsidTr="00510774">
        <w:tc>
          <w:tcPr>
            <w:tcW w:w="1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3FE" w:rsidRPr="008C68FD" w:rsidRDefault="008C68FD" w:rsidP="007303FE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C68FD">
              <w:rPr>
                <w:rFonts w:ascii="Times New Roman" w:hAnsi="Times New Roman" w:cs="Times New Roman"/>
                <w:lang w:val="uk-UA"/>
              </w:rPr>
              <w:t>Сумарно за п’ять років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8C68FD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8C68FD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8C68FD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3FE" w:rsidRPr="00E21EB9" w:rsidRDefault="008C68FD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03FE" w:rsidRDefault="008C68FD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866,64</w:t>
            </w:r>
          </w:p>
        </w:tc>
      </w:tr>
      <w:tr w:rsidR="00252CBF" w:rsidRPr="00E21EB9" w:rsidTr="00252CBF">
        <w:tc>
          <w:tcPr>
            <w:tcW w:w="5000" w:type="pct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52CBF" w:rsidRPr="00E21EB9" w:rsidRDefault="00252CBF" w:rsidP="004A45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color w:val="000000"/>
                <w:sz w:val="20"/>
                <w:lang w:val="uk-UA" w:eastAsia="ru-RU"/>
              </w:rPr>
              <w:t>   * Вартість витрат, пов’язаних з адмініструванням процесу регулювання орган</w:t>
            </w:r>
            <w:r w:rsidR="004A45CC">
              <w:rPr>
                <w:rFonts w:ascii="Times New Roman" w:eastAsia="Times New Roman" w:hAnsi="Times New Roman" w:cs="Times New Roman"/>
                <w:color w:val="000000"/>
                <w:sz w:val="20"/>
                <w:lang w:val="uk-UA" w:eastAsia="ru-RU"/>
              </w:rPr>
              <w:t>о</w:t>
            </w:r>
            <w:r w:rsidRPr="00E21EB9">
              <w:rPr>
                <w:rFonts w:ascii="Times New Roman" w:eastAsia="Times New Roman" w:hAnsi="Times New Roman" w:cs="Times New Roman"/>
                <w:color w:val="000000"/>
                <w:sz w:val="20"/>
                <w:lang w:val="uk-UA" w:eastAsia="ru-RU"/>
              </w:rPr>
              <w:t>м</w:t>
            </w:r>
            <w:r w:rsidR="004A45CC">
              <w:rPr>
                <w:rFonts w:ascii="Times New Roman" w:eastAsia="Times New Roman" w:hAnsi="Times New Roman" w:cs="Times New Roman"/>
                <w:color w:val="000000"/>
                <w:sz w:val="20"/>
                <w:lang w:val="uk-UA" w:eastAsia="ru-RU"/>
              </w:rPr>
              <w:t xml:space="preserve"> місцевого самоврядування</w:t>
            </w:r>
            <w:r w:rsidRPr="00E21EB9">
              <w:rPr>
                <w:rFonts w:ascii="Times New Roman" w:eastAsia="Times New Roman" w:hAnsi="Times New Roman" w:cs="Times New Roman"/>
                <w:color w:val="000000"/>
                <w:sz w:val="20"/>
                <w:lang w:val="uk-UA" w:eastAsia="ru-RU"/>
              </w:rPr>
              <w:t>, визначається шляхом множення фактичних витрат часу персоналу на заробітну плату спеціаліста відповідної кваліфікації та на кількість суб’єктів, що підпадають під дію процедури регулювання, та на кількість процедур за рік.</w:t>
            </w:r>
          </w:p>
        </w:tc>
      </w:tr>
    </w:tbl>
    <w:p w:rsidR="00510774" w:rsidRDefault="00510774" w:rsidP="001B6721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bookmarkStart w:id="27" w:name="n213"/>
      <w:bookmarkStart w:id="28" w:name="n215"/>
      <w:bookmarkStart w:id="29" w:name="n216"/>
      <w:bookmarkEnd w:id="27"/>
      <w:bookmarkEnd w:id="28"/>
      <w:bookmarkEnd w:id="29"/>
    </w:p>
    <w:p w:rsidR="001B6721" w:rsidRPr="00E21EB9" w:rsidRDefault="001B6721" w:rsidP="001B6721">
      <w:pPr>
        <w:shd w:val="clear" w:color="auto" w:fill="FFFFFF"/>
        <w:spacing w:after="0" w:line="240" w:lineRule="auto"/>
        <w:ind w:firstLine="28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21EB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4. Розрахунок сумарних витрат суб’єктів малого підприємництва, що виникають на виконання вимог регулювання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3361"/>
        <w:gridCol w:w="2459"/>
        <w:gridCol w:w="2125"/>
      </w:tblGrid>
      <w:tr w:rsidR="001B6721" w:rsidRPr="00E21EB9" w:rsidTr="00DF2CD7">
        <w:tc>
          <w:tcPr>
            <w:tcW w:w="1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30" w:name="n217"/>
            <w:bookmarkEnd w:id="30"/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Порядковий номер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Показник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Перший рік регулювання (стартовий)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п’ять років</w:t>
            </w:r>
          </w:p>
        </w:tc>
      </w:tr>
      <w:tr w:rsidR="001B6721" w:rsidRPr="00510774" w:rsidTr="00DF2CD7">
        <w:tc>
          <w:tcPr>
            <w:tcW w:w="141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 “прямих” витрат суб’єктів малого підприємництва на виконання регулювання</w:t>
            </w:r>
          </w:p>
        </w:tc>
        <w:tc>
          <w:tcPr>
            <w:tcW w:w="245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510774" w:rsidRDefault="00510774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780</w:t>
            </w:r>
          </w:p>
          <w:p w:rsidR="001B6721" w:rsidRPr="00E21EB9" w:rsidRDefault="001B6721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B6721" w:rsidRPr="00E21EB9" w:rsidRDefault="00510774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780</w:t>
            </w:r>
          </w:p>
        </w:tc>
      </w:tr>
      <w:tr w:rsidR="001B6721" w:rsidRPr="00E21EB9" w:rsidTr="00DF2CD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 вартості адміністративних процедур для суб’єктів малого підприємництва щодо виконання регулювання та звітування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DF2CD7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866,64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DF2CD7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866,64</w:t>
            </w:r>
          </w:p>
        </w:tc>
      </w:tr>
      <w:tr w:rsidR="001B6721" w:rsidRPr="00E21EB9" w:rsidTr="00DF2CD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Сумарні витрати малого підприємництва на виконання запланованого  регулювання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DF2CD7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1646,64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DF2CD7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1646,64</w:t>
            </w:r>
          </w:p>
        </w:tc>
      </w:tr>
      <w:tr w:rsidR="001B6721" w:rsidRPr="008C68FD" w:rsidTr="00DF2CD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Бюджетні витрати  на адміністрування регулювання суб’єктів малого підприємництва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DF2CD7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866,64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DF2CD7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866,64</w:t>
            </w:r>
          </w:p>
        </w:tc>
      </w:tr>
      <w:tr w:rsidR="001B6721" w:rsidRPr="00E21EB9" w:rsidTr="00DF2CD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1B6721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1E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Сумарні витрати на виконання запланованого регулювання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DF2CD7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2513,28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6721" w:rsidRPr="00E21EB9" w:rsidRDefault="00DF2CD7" w:rsidP="00EC43B3">
            <w:pPr>
              <w:spacing w:before="94" w:after="94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2513,28</w:t>
            </w:r>
          </w:p>
        </w:tc>
      </w:tr>
    </w:tbl>
    <w:p w:rsidR="001B6721" w:rsidRDefault="00DF2CD7" w:rsidP="00E17BA0">
      <w:pPr>
        <w:pStyle w:val="21"/>
        <w:ind w:firstLine="1134"/>
        <w:jc w:val="both"/>
        <w:rPr>
          <w:rFonts w:ascii="Times New Roman" w:hAnsi="Times New Roman" w:cs="Times New Roman"/>
        </w:rPr>
      </w:pPr>
      <w:bookmarkStart w:id="31" w:name="n218"/>
      <w:bookmarkEnd w:id="31"/>
      <w:r w:rsidRPr="00DF2CD7">
        <w:rPr>
          <w:rFonts w:ascii="Times New Roman" w:hAnsi="Times New Roman" w:cs="Times New Roman"/>
        </w:rPr>
        <w:t xml:space="preserve">5.Розроблення коригуючих (пом'якшувальних) заходів для малого підприємництва щодо запропонованого регулювання Розроблення коригуючих заходів не передбачається, оскільки прийняття регуляторного </w:t>
      </w:r>
      <w:proofErr w:type="spellStart"/>
      <w:r w:rsidRPr="00DF2CD7">
        <w:rPr>
          <w:rFonts w:ascii="Times New Roman" w:hAnsi="Times New Roman" w:cs="Times New Roman"/>
        </w:rPr>
        <w:t>акта</w:t>
      </w:r>
      <w:proofErr w:type="spellEnd"/>
      <w:r w:rsidRPr="00DF2CD7">
        <w:rPr>
          <w:rFonts w:ascii="Times New Roman" w:hAnsi="Times New Roman" w:cs="Times New Roman"/>
        </w:rPr>
        <w:t xml:space="preserve"> є обов’язковим виконанням норм Закону України «Про приватизацію державного та комунального майна. Прийняття запропонованого регуляторного </w:t>
      </w:r>
      <w:proofErr w:type="spellStart"/>
      <w:r w:rsidRPr="00DF2CD7">
        <w:rPr>
          <w:rFonts w:ascii="Times New Roman" w:hAnsi="Times New Roman" w:cs="Times New Roman"/>
        </w:rPr>
        <w:t>акта</w:t>
      </w:r>
      <w:proofErr w:type="spellEnd"/>
      <w:r w:rsidRPr="00DF2CD7">
        <w:rPr>
          <w:rFonts w:ascii="Times New Roman" w:hAnsi="Times New Roman" w:cs="Times New Roman"/>
        </w:rPr>
        <w:t xml:space="preserve"> забезпечить громадянам та суб’єктам підприємницької діяльності брати участь у приватизаційному процесі при формуванні переліків об’є</w:t>
      </w:r>
      <w:bookmarkStart w:id="32" w:name="_GoBack"/>
      <w:bookmarkEnd w:id="32"/>
      <w:r w:rsidRPr="00DF2CD7">
        <w:rPr>
          <w:rFonts w:ascii="Times New Roman" w:hAnsi="Times New Roman" w:cs="Times New Roman"/>
        </w:rPr>
        <w:t>кті комунальної власності, що підлягають приватизації, шляхом подання заяви встановленого зразка</w:t>
      </w:r>
      <w:r w:rsidR="004A45CC">
        <w:rPr>
          <w:rFonts w:ascii="Times New Roman" w:hAnsi="Times New Roman" w:cs="Times New Roman"/>
        </w:rPr>
        <w:t>.</w:t>
      </w:r>
    </w:p>
    <w:p w:rsidR="004A45CC" w:rsidRDefault="004A45CC" w:rsidP="004A45CC">
      <w:pPr>
        <w:pStyle w:val="11"/>
        <w:autoSpaceDE w:val="0"/>
        <w:autoSpaceDN w:val="0"/>
        <w:spacing w:before="0" w:after="0"/>
        <w:rPr>
          <w:b/>
          <w:i/>
          <w:szCs w:val="24"/>
          <w:lang w:val="uk-UA"/>
        </w:rPr>
      </w:pPr>
    </w:p>
    <w:p w:rsidR="004A45CC" w:rsidRPr="003B6369" w:rsidRDefault="004A45CC" w:rsidP="004A45CC">
      <w:pPr>
        <w:pStyle w:val="11"/>
        <w:autoSpaceDE w:val="0"/>
        <w:autoSpaceDN w:val="0"/>
        <w:spacing w:before="0" w:after="0"/>
        <w:rPr>
          <w:b/>
          <w:i/>
          <w:szCs w:val="24"/>
          <w:lang w:val="uk-UA"/>
        </w:rPr>
      </w:pPr>
      <w:r w:rsidRPr="008D48B8">
        <w:rPr>
          <w:b/>
          <w:i/>
          <w:szCs w:val="24"/>
          <w:lang w:val="uk-UA"/>
        </w:rPr>
        <w:t xml:space="preserve">Начальник </w:t>
      </w:r>
      <w:r w:rsidRPr="003B6369">
        <w:rPr>
          <w:b/>
          <w:i/>
          <w:szCs w:val="24"/>
          <w:lang w:val="uk-UA"/>
        </w:rPr>
        <w:t xml:space="preserve">Управління муніципального </w:t>
      </w:r>
    </w:p>
    <w:p w:rsidR="004A45CC" w:rsidRDefault="004A45CC" w:rsidP="004A45C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B6369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розвитку Бахмутської міської ради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Н.С.Отюніна</w:t>
      </w:r>
      <w:proofErr w:type="spellEnd"/>
    </w:p>
    <w:p w:rsidR="004A45CC" w:rsidRPr="00DF2CD7" w:rsidRDefault="004A45CC" w:rsidP="00E17BA0">
      <w:pPr>
        <w:pStyle w:val="21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sectPr w:rsidR="004A45CC" w:rsidRPr="00DF2CD7" w:rsidSect="00F75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141E"/>
    <w:multiLevelType w:val="hybridMultilevel"/>
    <w:tmpl w:val="55A2ADC0"/>
    <w:lvl w:ilvl="0" w:tplc="48B6F602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632C"/>
    <w:rsid w:val="00005C3C"/>
    <w:rsid w:val="000F44A6"/>
    <w:rsid w:val="001B6721"/>
    <w:rsid w:val="001D3B57"/>
    <w:rsid w:val="001F199C"/>
    <w:rsid w:val="001F2B1C"/>
    <w:rsid w:val="00252CBF"/>
    <w:rsid w:val="0025546C"/>
    <w:rsid w:val="00263438"/>
    <w:rsid w:val="00297303"/>
    <w:rsid w:val="002E689F"/>
    <w:rsid w:val="00345996"/>
    <w:rsid w:val="00365DCC"/>
    <w:rsid w:val="00384ECD"/>
    <w:rsid w:val="00386EFF"/>
    <w:rsid w:val="003E5B80"/>
    <w:rsid w:val="00433A24"/>
    <w:rsid w:val="004645D9"/>
    <w:rsid w:val="004768A8"/>
    <w:rsid w:val="004A45CC"/>
    <w:rsid w:val="004B10D8"/>
    <w:rsid w:val="004C5A96"/>
    <w:rsid w:val="00510774"/>
    <w:rsid w:val="005475B8"/>
    <w:rsid w:val="005B54ED"/>
    <w:rsid w:val="00601FCB"/>
    <w:rsid w:val="006B56B3"/>
    <w:rsid w:val="006E2792"/>
    <w:rsid w:val="006E31B1"/>
    <w:rsid w:val="006E793B"/>
    <w:rsid w:val="00725C2C"/>
    <w:rsid w:val="007303FE"/>
    <w:rsid w:val="00756892"/>
    <w:rsid w:val="007B4484"/>
    <w:rsid w:val="007D797E"/>
    <w:rsid w:val="007F17E4"/>
    <w:rsid w:val="00806E5A"/>
    <w:rsid w:val="0087632C"/>
    <w:rsid w:val="008A07BE"/>
    <w:rsid w:val="008C68FD"/>
    <w:rsid w:val="009445B3"/>
    <w:rsid w:val="0098140C"/>
    <w:rsid w:val="009967DE"/>
    <w:rsid w:val="009D2730"/>
    <w:rsid w:val="00A529CE"/>
    <w:rsid w:val="00A83EA3"/>
    <w:rsid w:val="00A96359"/>
    <w:rsid w:val="00AB409B"/>
    <w:rsid w:val="00AB6D74"/>
    <w:rsid w:val="00B76707"/>
    <w:rsid w:val="00BA28EF"/>
    <w:rsid w:val="00C1701B"/>
    <w:rsid w:val="00C93130"/>
    <w:rsid w:val="00CC58E5"/>
    <w:rsid w:val="00CD1BA2"/>
    <w:rsid w:val="00CD4CBB"/>
    <w:rsid w:val="00CE1F99"/>
    <w:rsid w:val="00D94208"/>
    <w:rsid w:val="00DB010E"/>
    <w:rsid w:val="00DB05C0"/>
    <w:rsid w:val="00DF065A"/>
    <w:rsid w:val="00DF2CD7"/>
    <w:rsid w:val="00E0025B"/>
    <w:rsid w:val="00E17BA0"/>
    <w:rsid w:val="00E21EB9"/>
    <w:rsid w:val="00E26FAA"/>
    <w:rsid w:val="00E3443C"/>
    <w:rsid w:val="00E8161B"/>
    <w:rsid w:val="00EA0612"/>
    <w:rsid w:val="00F01EFA"/>
    <w:rsid w:val="00F33835"/>
    <w:rsid w:val="00F40054"/>
    <w:rsid w:val="00F71F23"/>
    <w:rsid w:val="00F759E0"/>
    <w:rsid w:val="00F86825"/>
    <w:rsid w:val="00FD757B"/>
    <w:rsid w:val="00FE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7A20"/>
  <w15:docId w15:val="{EEAEBACA-1F7D-4BC3-8EC1-D5827160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9E0"/>
  </w:style>
  <w:style w:type="paragraph" w:styleId="1">
    <w:name w:val="heading 1"/>
    <w:basedOn w:val="a"/>
    <w:link w:val="10"/>
    <w:uiPriority w:val="9"/>
    <w:qFormat/>
    <w:rsid w:val="00B767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1F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бычный2"/>
    <w:rsid w:val="0087632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customStyle="1" w:styleId="22">
    <w:name w:val="Основний текст (2) + Напівжирний"/>
    <w:aliases w:val="Курсив"/>
    <w:basedOn w:val="a0"/>
    <w:rsid w:val="0087632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87632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767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">
    <w:name w:val="Основний текст (5)_"/>
    <w:basedOn w:val="a0"/>
    <w:link w:val="50"/>
    <w:rsid w:val="009967DE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967DE"/>
    <w:pPr>
      <w:widowControl w:val="0"/>
      <w:shd w:val="clear" w:color="auto" w:fill="FFFFFF"/>
      <w:spacing w:before="240" w:after="24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1">
    <w:name w:val="Обычный1"/>
    <w:uiPriority w:val="99"/>
    <w:rsid w:val="009967DE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ий текст (2) + Напівжирний;Курсив"/>
    <w:basedOn w:val="a0"/>
    <w:rsid w:val="009967D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9"/>
    <w:rsid w:val="00601F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07043">
                  <w:marLeft w:val="-200"/>
                  <w:marRight w:val="-2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2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96743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0" w:color="004BB0"/>
                            <w:right w:val="none" w:sz="0" w:space="0" w:color="auto"/>
                          </w:divBdr>
                        </w:div>
                        <w:div w:id="21226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41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339600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569014">
                              <w:marLeft w:val="0"/>
                              <w:marRight w:val="0"/>
                              <w:marTop w:val="37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746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900576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26668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435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392421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71354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39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9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942858">
                  <w:marLeft w:val="-200"/>
                  <w:marRight w:val="-2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7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75910">
                              <w:marLeft w:val="0"/>
                              <w:marRight w:val="0"/>
                              <w:marTop w:val="160"/>
                              <w:marBottom w:val="1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28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73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2237">
                  <w:marLeft w:val="-200"/>
                  <w:marRight w:val="-2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7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0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49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064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5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4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56F60-7254-4094-A8E0-4FD9B1F52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2068</TotalTime>
  <Pages>11</Pages>
  <Words>14051</Words>
  <Characters>8010</Characters>
  <Application>Microsoft Office Word</Application>
  <DocSecurity>0</DocSecurity>
  <Lines>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dcterms:created xsi:type="dcterms:W3CDTF">2020-05-20T12:36:00Z</dcterms:created>
  <dcterms:modified xsi:type="dcterms:W3CDTF">2021-05-11T09:32:00Z</dcterms:modified>
</cp:coreProperties>
</file>